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6.jpeg" ContentType="image/jpeg"/>
  <Override PartName="/word/media/image24.jpeg" ContentType="image/jpeg"/>
  <Override PartName="/word/media/image2.wmf" ContentType="image/x-wmf"/>
  <Override PartName="/word/media/image6.jpeg" ContentType="image/jpeg"/>
  <Override PartName="/word/media/image55.jpeg" ContentType="image/jpeg"/>
  <Override PartName="/word/media/image33.jpeg" ContentType="image/jpeg"/>
  <Override PartName="/word/media/image16.png" ContentType="image/png"/>
  <Override PartName="/word/media/image11.jpeg" ContentType="image/jpeg"/>
  <Override PartName="/word/media/image3.png" ContentType="image/png"/>
  <Override PartName="/word/media/image4.png" ContentType="image/png"/>
  <Override PartName="/word/media/image29.jpeg" ContentType="image/jpeg"/>
  <Override PartName="/word/media/image5.png" ContentType="image/png"/>
  <Override PartName="/word/media/image39.jpeg" ContentType="image/jpeg"/>
  <Override PartName="/word/media/image7.png" ContentType="image/png"/>
  <Override PartName="/word/media/image34.png" ContentType="image/png"/>
  <Override PartName="/word/media/image12.png" ContentType="image/png"/>
  <Override PartName="/word/media/image37.jpeg" ContentType="image/jpeg"/>
  <Override PartName="/word/media/image59.jpeg" ContentType="image/jpeg"/>
  <Override PartName="/word/media/image69.jpeg" ContentType="image/jpeg"/>
  <Override PartName="/word/media/image8.png" ContentType="image/png"/>
  <Override PartName="/word/media/image13.png" ContentType="image/png"/>
  <Override PartName="/word/media/image25.jpeg" ContentType="image/jpeg"/>
  <Override PartName="/word/media/image47.jpeg" ContentType="image/jpeg"/>
  <Override PartName="/word/media/image14.png" ContentType="image/png"/>
  <Override PartName="/word/media/image35.jpeg" ContentType="image/jpeg"/>
  <Override PartName="/word/media/image9.png" ContentType="image/png"/>
  <Override PartName="/word/media/image57.jpeg" ContentType="image/jpeg"/>
  <Override PartName="/word/media/image10.jpeg" ContentType="image/jpeg"/>
  <Override PartName="/word/media/image32.jpeg" ContentType="image/jpeg"/>
  <Override PartName="/word/media/image54.jpeg" ContentType="image/jpeg"/>
  <Override PartName="/word/media/image15.png" ContentType="image/png"/>
  <Override PartName="/word/media/image23.jpeg" ContentType="image/jpeg"/>
  <Override PartName="/word/media/image45.jpeg" ContentType="image/jpeg"/>
  <Override PartName="/word/media/image17.png" ContentType="image/png"/>
  <Override PartName="/word/media/image21.jpeg" ContentType="image/jpeg"/>
  <Override PartName="/word/media/image43.jpeg" ContentType="image/jpeg"/>
  <Override PartName="/word/media/image18.png" ContentType="image/png"/>
  <Override PartName="/word/media/image31.jpeg" ContentType="image/jpeg"/>
  <Override PartName="/word/media/image53.jpeg" ContentType="image/jpeg"/>
  <Override PartName="/word/media/image19.png" ContentType="image/png"/>
  <Override PartName="/word/media/image41.jpeg" ContentType="image/jpeg"/>
  <Override PartName="/word/media/image63.jpeg" ContentType="image/jpeg"/>
  <Override PartName="/word/media/image20.jpeg" ContentType="image/jpeg"/>
  <Override PartName="/word/media/image42.jpeg" ContentType="image/jpeg"/>
  <Override PartName="/word/media/image64.jpeg" ContentType="image/jpeg"/>
  <Override PartName="/word/media/image22.jpeg" ContentType="image/jpeg"/>
  <Override PartName="/word/media/image44.jpeg" ContentType="image/jpeg"/>
  <Override PartName="/word/media/image26.jpeg" ContentType="image/jpeg"/>
  <Override PartName="/word/media/image48.jpeg" ContentType="image/jpeg"/>
  <Override PartName="/word/media/image27.jpeg" ContentType="image/jpeg"/>
  <Override PartName="/word/media/image49.jpeg" ContentType="image/jpeg"/>
  <Override PartName="/word/media/image28.jpeg" ContentType="image/jpeg"/>
  <Override PartName="/word/media/image30.jpeg" ContentType="image/jpeg"/>
  <Override PartName="/word/media/image52.jpeg" ContentType="image/jpeg"/>
  <Override PartName="/word/media/image36.jpeg" ContentType="image/jpeg"/>
  <Override PartName="/word/media/image58.jpeg" ContentType="image/jpeg"/>
  <Override PartName="/word/media/image38.jpeg" ContentType="image/jpeg"/>
  <Override PartName="/word/media/image40.jpeg" ContentType="image/jpeg"/>
  <Override PartName="/word/media/image62.jpeg" ContentType="image/jpeg"/>
  <Override PartName="/word/media/image50.jpeg" ContentType="image/jpeg"/>
  <Override PartName="/word/media/image51.jpeg" ContentType="image/jpeg"/>
  <Override PartName="/word/media/image56.jpeg" ContentType="image/jpeg"/>
  <Override PartName="/word/media/image60.jpeg" ContentType="image/jpeg"/>
  <Override PartName="/word/media/image61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78.jpeg" ContentType="image/jpeg"/>
  <Override PartName="/word/media/image79.jpeg" ContentType="image/jpeg"/>
  <Override PartName="/word/media/image80.jpeg" ContentType="image/jpeg"/>
  <Override PartName="/word/media/image81.jpeg" ContentType="image/jpeg"/>
  <Override PartName="/word/media/image82.jpeg" ContentType="image/jpeg"/>
  <Override PartName="/word/media/image83.jpeg" ContentType="image/jpeg"/>
  <Override PartName="/word/media/image84.png" ContentType="image/png"/>
  <Override PartName="/word/media/image85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</w:rPr>
      </w:pPr>
      <w:bookmarkStart w:id="0" w:name="_Hlk76626955"/>
      <w:bookmarkEnd w:id="0"/>
      <w:r>
        <w:rPr>
          <w:rFonts w:cs="Times New Roman" w:ascii="Times New Roman" w:hAnsi="Times New Roman"/>
          <w:b/>
        </w:rPr>
        <w:t>ООО «ХРОМОС Инжиниринг»</w:t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  <w:drawing>
          <wp:inline distT="0" distB="0" distL="0" distR="0">
            <wp:extent cx="2179320" cy="754380"/>
            <wp:effectExtent l="0" t="0" r="0" b="0"/>
            <wp:docPr id="1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rPr/>
      </w:pPr>
      <w:r>
        <w:rPr/>
        <w:tab/>
        <w:tab/>
        <w:tab/>
        <w:tab/>
        <w:tab/>
        <w:tab/>
        <w:tab/>
        <w:tab/>
        <w:tab/>
      </w:r>
    </w:p>
    <w:p>
      <w:pPr>
        <w:pStyle w:val="Normal"/>
        <w:spacing w:lineRule="auto" w:line="360" w:before="0" w:after="0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tabs>
          <w:tab w:val="clear" w:pos="709"/>
          <w:tab w:val="left" w:pos="3300" w:leader="none"/>
        </w:tabs>
        <w:spacing w:lineRule="auto" w:line="360" w:before="0"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АНАЛИЗАТОР КИСЛОРОДА ПРОМЫШЛЕННЫЙ</w:t>
      </w:r>
    </w:p>
    <w:p>
      <w:pPr>
        <w:pStyle w:val="Style26"/>
        <w:spacing w:lineRule="auto" w:line="360" w:before="0" w:after="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«ХРОМОС О</w:t>
      </w:r>
      <w:r>
        <w:rPr>
          <w:rFonts w:ascii="Times New Roman" w:hAnsi="Times New Roman"/>
          <w:b/>
          <w:color w:val="000000"/>
          <w:sz w:val="32"/>
          <w:szCs w:val="32"/>
          <w:vertAlign w:val="subscript"/>
        </w:rPr>
        <w:t>2</w:t>
      </w:r>
      <w:r>
        <w:rPr>
          <w:rFonts w:ascii="Times New Roman" w:hAnsi="Times New Roman"/>
          <w:b/>
          <w:color w:val="000000"/>
          <w:sz w:val="32"/>
          <w:szCs w:val="32"/>
        </w:rPr>
        <w:t>»</w:t>
      </w:r>
    </w:p>
    <w:p>
      <w:pPr>
        <w:pStyle w:val="Normal"/>
        <w:tabs>
          <w:tab w:val="clear" w:pos="709"/>
          <w:tab w:val="left" w:pos="3300" w:leader="none"/>
        </w:tabs>
        <w:spacing w:lineRule="auto" w:line="360" w:before="0" w:after="0"/>
        <w:jc w:val="center"/>
        <w:rPr>
          <w:b/>
        </w:rPr>
      </w:pPr>
      <w:r>
        <w:rPr>
          <w:b/>
        </w:rPr>
      </w:r>
    </w:p>
    <w:p>
      <w:pPr>
        <w:pStyle w:val="Normal"/>
        <w:tabs>
          <w:tab w:val="clear" w:pos="709"/>
          <w:tab w:val="left" w:pos="3300" w:leader="none"/>
        </w:tabs>
        <w:spacing w:lineRule="auto" w:line="360" w:before="0" w:after="0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Руководство по эксплуатации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ХАС 2.320.010 РЭ</w:t>
      </w:r>
    </w:p>
    <w:p>
      <w:pPr>
        <w:pStyle w:val="Normal"/>
        <w:tabs>
          <w:tab w:val="clear" w:pos="709"/>
          <w:tab w:val="left" w:pos="3300" w:leader="none"/>
        </w:tabs>
        <w:spacing w:lineRule="auto" w:line="360" w:before="0" w:after="0"/>
        <w:jc w:val="center"/>
        <w:rPr>
          <w:b/>
        </w:rPr>
      </w:pPr>
      <w:r>
        <w:rPr>
          <w:b/>
        </w:rPr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jc w:val="center"/>
        <w:rPr/>
      </w:pPr>
      <w:r>
        <w:rPr/>
        <w:drawing>
          <wp:inline distT="0" distB="0" distL="0" distR="0">
            <wp:extent cx="914400" cy="914400"/>
            <wp:effectExtent l="0" t="0" r="0" b="0"/>
            <wp:docPr id="2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Москва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2021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lineRule="auto" w:line="360" w:before="0" w:after="0"/>
        <w:jc w:val="center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tyle42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>
            <w:rPr>
              <w:rFonts w:cs="Times New Roman" w:ascii="Times New Roman" w:hAnsi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>
          <w:pPr>
            <w:pStyle w:val="15"/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r>
            <w:fldChar w:fldCharType="begin"/>
          </w:r>
          <w:r>
            <w:rPr>
              <w:webHidden/>
              <w:rStyle w:val="Style22"/>
              <w:sz w:val="24"/>
              <w:szCs w:val="24"/>
              <w:vanish w:val="false"/>
              <w:rFonts w:cs="Times New Roman" w:ascii="Times New Roman" w:hAnsi="Times New Roman"/>
            </w:rPr>
            <w:instrText xml:space="preserve"> TOC \z \o "1-3" \u \h</w:instrText>
          </w:r>
          <w:r>
            <w:rPr>
              <w:webHidden/>
              <w:rStyle w:val="Style22"/>
              <w:sz w:val="24"/>
              <w:szCs w:val="24"/>
              <w:vanish w:val="false"/>
              <w:rFonts w:cs="Times New Roman" w:ascii="Times New Roman" w:hAnsi="Times New Roman"/>
            </w:rPr>
            <w:fldChar w:fldCharType="separate"/>
          </w:r>
          <w:hyperlink w:anchor="_Toc10127923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_Toc101279234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rFonts w:cs="Times New Roman" w:ascii="Times New Roman" w:hAnsi="Times New Roman"/>
                <w:vanish w:val="false"/>
                <w:sz w:val="24"/>
                <w:szCs w:val="24"/>
              </w:rPr>
              <w:t>Введение</w:t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101279235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_Toc101279235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rFonts w:cs="Times New Roman" w:ascii="Times New Roman" w:hAnsi="Times New Roman"/>
                <w:vanish w:val="false"/>
                <w:sz w:val="24"/>
                <w:szCs w:val="24"/>
              </w:rPr>
              <w:t>1 Описание и работа анализатора</w:t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36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_Toc101279236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b w:val="false"/>
                <w:vanish w:val="false"/>
              </w:rPr>
              <w:t>1.1 Назначение</w:t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37">
            <w:r>
              <w:rPr>
                <w:webHidden/>
                <w:rStyle w:val="Style22"/>
                <w:b w:val="false"/>
                <w:vanish w:val="false"/>
              </w:rPr>
              <w:t xml:space="preserve">1.2 </w:t>
            </w:r>
            <w:r>
              <w:rPr>
                <w:rStyle w:val="Style22"/>
                <w:b w:val="false"/>
                <w:iCs/>
                <w:lang w:eastAsia="ar-SA" w:bidi="hi-IN"/>
              </w:rPr>
              <w:t>Технические</w:t>
            </w:r>
            <w:r>
              <w:rPr>
                <w:rStyle w:val="Style22"/>
                <w:b w:val="false"/>
              </w:rPr>
              <w:t xml:space="preserve"> и метрологические характеристики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_Toc101279237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2"/>
                <w:b w:val="false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3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_Toc101279238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b w:val="false"/>
                <w:vanish w:val="false"/>
              </w:rPr>
              <w:t>1.3 Комплектность</w:t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3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_Toc101279239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b w:val="false"/>
                <w:vanish w:val="false"/>
              </w:rPr>
              <w:t>1.4 Устройство</w:t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4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_Toc101279240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b w:val="false"/>
                <w:vanish w:val="false"/>
              </w:rPr>
              <w:t>1.5 Принцип работы</w:t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41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_Toc101279241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b w:val="false"/>
                <w:vanish w:val="false"/>
              </w:rPr>
              <w:t>1.6 Обеспечение взрывозащиты</w:t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4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_Toc101279242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b w:val="false"/>
                <w:vanish w:val="false"/>
              </w:rPr>
              <w:t>1.7 Маркировка</w:t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4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_Toc101279243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b w:val="false"/>
                <w:vanish w:val="false"/>
              </w:rPr>
              <w:t>1.8 Упаковка</w:t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10127924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_Toc101279244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rFonts w:cs="Times New Roman" w:ascii="Times New Roman" w:hAnsi="Times New Roman"/>
                <w:vanish w:val="false"/>
                <w:sz w:val="24"/>
                <w:szCs w:val="24"/>
              </w:rPr>
              <w:t>2 Использование по назначению</w:t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45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_Toc101279245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b w:val="false"/>
                <w:vanish w:val="false"/>
              </w:rPr>
              <w:t>2.1 Общие указания по эксплуатации</w:t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46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_Toc101279246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b w:val="false"/>
                <w:vanish w:val="false"/>
              </w:rPr>
              <w:t>2.2 Меры безопасности</w:t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47">
            <w:r>
              <w:rPr>
                <w:webHidden/>
                <w:rStyle w:val="Style22"/>
                <w:b w:val="false"/>
                <w:vanish w:val="false"/>
              </w:rPr>
              <w:t xml:space="preserve">2.3 </w:t>
            </w:r>
            <w:r>
              <w:rPr>
                <w:rStyle w:val="Style22"/>
                <w:rFonts w:eastAsia="SimSun"/>
                <w:b w:val="false"/>
                <w:lang w:eastAsia="zh-CN" w:bidi="hi-IN"/>
              </w:rPr>
              <w:t>Распаковка и монтаж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_Toc101279247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2"/>
                <w:b w:val="false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4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_Toc101279248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b w:val="false"/>
                <w:vanish w:val="false"/>
              </w:rPr>
              <w:t>2.4 Установка, подготовка к работе, запуск</w:t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numPr>
              <w:ilvl w:val="0"/>
              <w:numId w:val="0"/>
            </w:numPr>
            <w:tabs>
              <w:tab w:val="clear" w:pos="709"/>
              <w:tab w:val="right" w:pos="9344" w:leader="dot"/>
            </w:tabs>
            <w:ind w:left="360" w:hanging="0"/>
            <w:rPr>
              <w:rFonts w:eastAsia="" w:eastAsiaTheme="minorEastAsia"/>
              <w:b w:val="false"/>
              <w:lang w:eastAsia="ru-RU"/>
            </w:rPr>
          </w:pPr>
          <w:hyperlink w:anchor="_Toc10127924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_Toc101279249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b w:val="false"/>
                <w:vanish w:val="false"/>
              </w:rPr>
              <w:t>2.5 Использование анализатора кислорода</w:t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10127925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_Toc101279250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rFonts w:cs="Times New Roman" w:ascii="Times New Roman" w:hAnsi="Times New Roman"/>
                <w:vanish w:val="false"/>
                <w:sz w:val="24"/>
                <w:szCs w:val="24"/>
              </w:rPr>
              <w:t>3 Поверка анализатора</w:t>
              <w:tab/>
              <w:t>55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101279251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_Toc101279251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rFonts w:cs="Times New Roman" w:ascii="Times New Roman" w:hAnsi="Times New Roman"/>
                <w:vanish w:val="false"/>
                <w:sz w:val="24"/>
                <w:szCs w:val="24"/>
              </w:rPr>
              <w:t>4 Технические обслуживание</w:t>
              <w:tab/>
              <w:t>56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10127925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_Toc101279252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rFonts w:cs="Times New Roman" w:ascii="Times New Roman" w:hAnsi="Times New Roman"/>
                <w:vanish w:val="false"/>
                <w:sz w:val="24"/>
                <w:szCs w:val="24"/>
              </w:rPr>
              <w:t>5 Возможные неисправности и методы их устранения</w:t>
              <w:tab/>
              <w:t>58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101279253">
            <w:r>
              <w:rPr>
                <w:webHidden/>
                <w:rStyle w:val="Style22"/>
                <w:rFonts w:eastAsia="Times New Roman" w:cs="Times New Roman" w:ascii="Times New Roman" w:hAnsi="Times New Roman"/>
                <w:vanish w:val="false"/>
                <w:sz w:val="24"/>
                <w:szCs w:val="24"/>
              </w:rPr>
              <w:t xml:space="preserve">6 </w:t>
            </w:r>
            <w:r>
              <w:rPr>
                <w:rStyle w:val="Style22"/>
                <w:rFonts w:cs="Times New Roman" w:ascii="Times New Roman" w:hAnsi="Times New Roman"/>
                <w:sz w:val="24"/>
                <w:szCs w:val="24"/>
              </w:rPr>
              <w:t>Транспортирование, хранение и утилизация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_Toc101279253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2"/>
                <w:rFonts w:cs="Times New Roman" w:ascii="Times New Roman" w:hAnsi="Times New Roman"/>
                <w:vanish w:val="false"/>
                <w:sz w:val="24"/>
                <w:szCs w:val="24"/>
              </w:rPr>
              <w:tab/>
              <w:t>59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10127925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_Toc101279254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rFonts w:cs="Times New Roman" w:ascii="Times New Roman" w:hAnsi="Times New Roman"/>
                <w:vanish w:val="false"/>
                <w:sz w:val="24"/>
                <w:szCs w:val="24"/>
              </w:rPr>
              <w:t>7 Гарантии изготовителя</w:t>
              <w:tab/>
              <w:t>60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101279255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_Toc101279255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rFonts w:cs="Times New Roman" w:ascii="Times New Roman" w:hAnsi="Times New Roman"/>
                <w:vanish w:val="false"/>
                <w:sz w:val="24"/>
                <w:szCs w:val="24"/>
              </w:rPr>
              <w:t>ПРИЛОЖЕНИЕ А</w:t>
              <w:tab/>
              <w:t>61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101279256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_Toc101279256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2"/>
                <w:rFonts w:cs="Times New Roman" w:ascii="Times New Roman" w:hAnsi="Times New Roman"/>
                <w:vanish w:val="false"/>
                <w:sz w:val="24"/>
                <w:szCs w:val="24"/>
              </w:rPr>
              <w:t>ПРИЛОЖЕНИЕ Б</w:t>
              <w:tab/>
              <w:t>63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>
              <w:rFonts w:ascii="Times New Roman" w:hAnsi="Times New Roman" w:cs="Times New Roman"/>
            </w:rPr>
          </w:pPr>
          <w:r>
            <w:rPr>
              <w:rFonts w:cs="Times New Roman" w:ascii="Times New Roman" w:hAnsi="Times New Roman"/>
            </w:rPr>
          </w:r>
          <w:r>
            <w:rPr>
              <w:rFonts w:cs="Times New Roman" w:ascii="Times New Roman" w:hAnsi="Times New Roman"/>
            </w:rPr>
            <w:fldChar w:fldCharType="end"/>
          </w:r>
        </w:p>
      </w:sdtContent>
    </w:sdt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eastAsia="SimSun" w:cs="Times New Roman"/>
          <w:sz w:val="24"/>
          <w:szCs w:val="24"/>
          <w:lang w:eastAsia="zh-CN" w:bidi="hi-IN"/>
        </w:rPr>
      </w:pPr>
      <w:r>
        <w:rPr>
          <w:rFonts w:eastAsia="SimSun" w:cs="Times New Roman" w:ascii="Times New Roman" w:hAnsi="Times New Roman"/>
          <w:sz w:val="24"/>
          <w:szCs w:val="24"/>
          <w:lang w:eastAsia="zh-CN" w:bidi="hi-IN"/>
        </w:rPr>
      </w:r>
      <w:r>
        <w:br w:type="page"/>
      </w:r>
    </w:p>
    <w:p>
      <w:pPr>
        <w:pStyle w:val="1"/>
        <w:jc w:val="center"/>
        <w:rPr/>
      </w:pPr>
      <w:bookmarkStart w:id="1" w:name="_Toc101279234"/>
      <w:r>
        <w:rPr/>
        <w:t>Введение</w:t>
      </w:r>
      <w:bookmarkEnd w:id="1"/>
    </w:p>
    <w:p>
      <w:pPr>
        <w:pStyle w:val="NormalWeb"/>
        <w:spacing w:before="280" w:after="280"/>
        <w:ind w:firstLine="567"/>
        <w:rPr>
          <w:color w:val="00000A"/>
          <w:szCs w:val="32"/>
          <w:lang w:eastAsia="ar-SA" w:bidi="hi-IN"/>
        </w:rPr>
      </w:pPr>
      <w:r>
        <w:rPr>
          <w:color w:val="00000A"/>
          <w:szCs w:val="32"/>
          <w:lang w:eastAsia="ar-SA" w:bidi="hi-IN"/>
        </w:rPr>
        <w:t>Настоящее руководство по эксплуатации (РЭ) распространяется на анализаторы кислорода промышленные «ХРОМОС О</w:t>
      </w:r>
      <w:r>
        <w:rPr>
          <w:color w:val="00000A"/>
          <w:szCs w:val="32"/>
          <w:vertAlign w:val="subscript"/>
          <w:lang w:eastAsia="ar-SA" w:bidi="hi-IN"/>
        </w:rPr>
        <w:t>2</w:t>
      </w:r>
      <w:r>
        <w:rPr>
          <w:color w:val="00000A"/>
          <w:szCs w:val="32"/>
          <w:lang w:eastAsia="ar-SA" w:bidi="hi-IN"/>
        </w:rPr>
        <w:t>» (далее анализатор) и предназначено для изучения устройства, принципа действия, технических характеристик анализатора, обеспечения правильной эксплуатации и технического обслуживания с целью поддержания его в рабочем состоянии.</w:t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  <w:r>
        <w:br w:type="page"/>
      </w:r>
    </w:p>
    <w:p>
      <w:pPr>
        <w:pStyle w:val="1"/>
        <w:spacing w:lineRule="auto" w:line="240" w:before="240" w:after="0"/>
        <w:ind w:firstLine="567"/>
        <w:contextualSpacing/>
        <w:jc w:val="both"/>
        <w:rPr/>
      </w:pPr>
      <w:bookmarkStart w:id="2" w:name="_Toc101279235"/>
      <w:bookmarkStart w:id="3" w:name="_Toc416962034"/>
      <w:bookmarkStart w:id="4" w:name="_Toc144879481"/>
      <w:bookmarkStart w:id="5" w:name="_Toc18893056"/>
      <w:bookmarkStart w:id="6" w:name="_Toc18891540"/>
      <w:bookmarkStart w:id="7" w:name="_Toc18834949"/>
      <w:bookmarkStart w:id="8" w:name="_Toc18834895"/>
      <w:bookmarkStart w:id="9" w:name="_Toc18834857"/>
      <w:bookmarkStart w:id="10" w:name="_Toc18834819"/>
      <w:bookmarkStart w:id="11" w:name="_Toc13644495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/>
        <w:t>1 Описание и работа анализатора</w:t>
      </w:r>
      <w:bookmarkEnd w:id="2"/>
    </w:p>
    <w:p>
      <w:pPr>
        <w:pStyle w:val="2"/>
        <w:rPr/>
      </w:pPr>
      <w:bookmarkStart w:id="12" w:name="_Toc101279236"/>
      <w:r>
        <w:rPr/>
        <w:t>1.1 Назначение</w:t>
      </w:r>
      <w:bookmarkEnd w:id="12"/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bookmarkStart w:id="13" w:name="_Toc416962034_Копия_1"/>
      <w:bookmarkStart w:id="14" w:name="_Toc144879481_Копия_1"/>
      <w:bookmarkStart w:id="15" w:name="_Toc18893056_Копия_1"/>
      <w:bookmarkStart w:id="16" w:name="_Toc18891540_Копия_1"/>
      <w:bookmarkStart w:id="17" w:name="_Toc18834949_Копия_1"/>
      <w:bookmarkStart w:id="18" w:name="_Toc18834895_Копия_1"/>
      <w:bookmarkStart w:id="19" w:name="_Toc18834857_Копия_1"/>
      <w:bookmarkStart w:id="20" w:name="_Toc18834819_Копия_1"/>
      <w:bookmarkStart w:id="21" w:name="_Toc13644495_Копия_1"/>
      <w:bookmarkStart w:id="22" w:name="_Toc144879482"/>
      <w:bookmarkStart w:id="23" w:name="_Ref20880993"/>
      <w:bookmarkStart w:id="24" w:name="_Ref20880943"/>
      <w:bookmarkStart w:id="25" w:name="_Ref20880922"/>
      <w:bookmarkStart w:id="26" w:name="_Toc18893057"/>
      <w:bookmarkStart w:id="27" w:name="_Toc18891541"/>
      <w:bookmarkStart w:id="28" w:name="_Toc18834950"/>
      <w:bookmarkStart w:id="29" w:name="_Toc18834896"/>
      <w:bookmarkStart w:id="30" w:name="_Toc18834858"/>
      <w:bookmarkStart w:id="31" w:name="_Toc18834820"/>
      <w:bookmarkStart w:id="32" w:name="_Ref18831690"/>
      <w:bookmarkStart w:id="33" w:name="_Ref18831291"/>
      <w:bookmarkStart w:id="34" w:name="_Ref18830957"/>
      <w:bookmarkStart w:id="35" w:name="_Toc13644496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>
        <w:rPr>
          <w:rFonts w:cs="Times New Roman" w:ascii="Times New Roman" w:hAnsi="Times New Roman"/>
          <w:sz w:val="24"/>
          <w:szCs w:val="24"/>
        </w:rPr>
        <w:t>1.1.1 Анализаторы кислорода промышленные «ХРОМОС О</w:t>
      </w:r>
      <w:r>
        <w:rPr>
          <w:rFonts w:cs="Times New Roman" w:ascii="Times New Roman" w:hAnsi="Times New Roman"/>
          <w:sz w:val="24"/>
          <w:szCs w:val="24"/>
          <w:vertAlign w:val="subscript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» (далее - анализатор), </w:t>
      </w:r>
      <w:r>
        <w:rPr>
          <w:rFonts w:ascii="Times New Roman" w:hAnsi="Times New Roman"/>
          <w:sz w:val="24"/>
          <w:szCs w:val="24"/>
        </w:rPr>
        <w:t>предназначены для измерения содержания кислорода в газовых средах, в том числе природный горючий газ (ПГГ), попутном нефтяном газе, поступающий с установок промысловой подготовки, из подземных хранилищ газа и с газоперерабатывающих предприятий в магистральные газопроводы и транспортируемый по ним, инертных газах, водороде, газообразном метане, пропане, гелии, азоте и других неагрессивных газах.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36" w:name="_Hlk95750869"/>
      <w:r>
        <w:rPr>
          <w:rFonts w:cs="Times New Roman" w:ascii="Times New Roman" w:hAnsi="Times New Roman"/>
          <w:sz w:val="24"/>
          <w:szCs w:val="24"/>
        </w:rPr>
        <w:t>Анализатор применяется для контроля качества газа, технологических процессов в газовой и нефтеперерабатывающей промышленности, а также других отраслях промышленности, и обеспечения безопасности.</w:t>
      </w:r>
      <w:bookmarkEnd w:id="36"/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 w:bidi="hi-IN"/>
        </w:rPr>
        <w:t>1.1.2 Анализатор, с целью обеспечения оптимального варианта комплектации под задачи потребителя, имеет две модификации (исполнения</w:t>
      </w:r>
      <w:r>
        <w:rPr>
          <w:rFonts w:cs="Times New Roman" w:ascii="Times New Roman" w:hAnsi="Times New Roman"/>
          <w:sz w:val="24"/>
          <w:szCs w:val="24"/>
          <w:lang w:eastAsia="ar-SA"/>
        </w:rPr>
        <w:t>):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lang w:eastAsia="ar-SA"/>
        </w:rPr>
      </w:pPr>
      <w:r>
        <w:rPr>
          <w:lang w:eastAsia="ar-SA"/>
        </w:rPr>
        <w:t xml:space="preserve">– </w:t>
      </w:r>
      <w:r>
        <w:rPr>
          <w:rFonts w:cs="Times New Roman" w:ascii="Times New Roman" w:hAnsi="Times New Roman"/>
          <w:lang w:eastAsia="ar-SA"/>
        </w:rPr>
        <w:t>исполнение 1;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lang w:eastAsia="ar-SA"/>
        </w:rPr>
        <w:t xml:space="preserve">– </w:t>
      </w:r>
      <w:r>
        <w:rPr>
          <w:rFonts w:cs="Times New Roman" w:ascii="Times New Roman" w:hAnsi="Times New Roman"/>
          <w:lang w:eastAsia="ar-SA"/>
        </w:rPr>
        <w:t>исполнение 2.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" w:cs="Times New Roman" w:eastAsiaTheme="minorEastAsia"/>
          <w:sz w:val="24"/>
          <w:szCs w:val="24"/>
          <w:lang w:eastAsia="ru-RU"/>
        </w:rPr>
      </w:pPr>
      <w:r>
        <w:rPr>
          <w:rFonts w:eastAsia="" w:cs="Times New Roman" w:ascii="Times New Roman" w:hAnsi="Times New Roman" w:eastAsiaTheme="minorEastAsia"/>
          <w:sz w:val="24"/>
          <w:szCs w:val="24"/>
          <w:lang w:eastAsia="ru-RU"/>
        </w:rPr>
        <w:t xml:space="preserve">В </w:t>
      </w:r>
      <w:r>
        <w:rPr>
          <w:rFonts w:eastAsia="" w:cs="Times New Roman" w:ascii="Times New Roman" w:hAnsi="Times New Roman" w:eastAsiaTheme="minorEastAsia"/>
          <w:b/>
          <w:sz w:val="24"/>
          <w:szCs w:val="24"/>
          <w:lang w:eastAsia="ru-RU"/>
        </w:rPr>
        <w:t>исполнении 1</w:t>
      </w:r>
      <w:r>
        <w:rPr>
          <w:rFonts w:eastAsia="" w:cs="Times New Roman" w:ascii="Times New Roman" w:hAnsi="Times New Roman" w:eastAsiaTheme="minorEastAsia"/>
          <w:sz w:val="24"/>
          <w:szCs w:val="24"/>
          <w:lang w:eastAsia="ru-RU"/>
        </w:rPr>
        <w:t xml:space="preserve"> анализатор выполнен во взрывонепроницаемой оболочке «d» в металлическом корпусе. </w:t>
      </w:r>
      <w:bookmarkStart w:id="37" w:name="_Hlk100064601"/>
      <w:r>
        <w:rPr>
          <w:rFonts w:eastAsia="" w:cs="Times New Roman" w:ascii="Times New Roman" w:hAnsi="Times New Roman" w:eastAsiaTheme="minorEastAsia"/>
          <w:sz w:val="24"/>
          <w:szCs w:val="24"/>
          <w:lang w:eastAsia="ru-RU"/>
        </w:rPr>
        <w:t xml:space="preserve">Калибровка осуществляется в ручном режиме. В этом исполнении анализируется один поток.  </w:t>
      </w:r>
      <w:bookmarkEnd w:id="37"/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" w:cs="Times New Roman" w:eastAsiaTheme="minorEastAsia"/>
          <w:sz w:val="24"/>
          <w:szCs w:val="24"/>
          <w:lang w:eastAsia="ru-RU"/>
        </w:rPr>
      </w:pPr>
      <w:r>
        <w:rPr>
          <w:rFonts w:eastAsia="" w:cs="Times New Roman" w:ascii="Times New Roman" w:hAnsi="Times New Roman" w:eastAsiaTheme="minorEastAsia"/>
          <w:sz w:val="24"/>
          <w:szCs w:val="24"/>
          <w:lang w:eastAsia="ru-RU"/>
        </w:rPr>
        <w:t>В</w:t>
      </w:r>
      <w:r>
        <w:rPr>
          <w:rFonts w:eastAsia="" w:cs="Times New Roman" w:ascii="Times New Roman" w:hAnsi="Times New Roman" w:eastAsiaTheme="minorEastAsia"/>
          <w:b/>
          <w:sz w:val="24"/>
          <w:szCs w:val="24"/>
          <w:lang w:eastAsia="ru-RU"/>
        </w:rPr>
        <w:t xml:space="preserve"> исполнении 2</w:t>
      </w:r>
      <w:r>
        <w:rPr>
          <w:rFonts w:eastAsia="" w:cs="Times New Roman" w:ascii="Times New Roman" w:hAnsi="Times New Roman" w:eastAsiaTheme="minorEastAsia"/>
          <w:sz w:val="24"/>
          <w:szCs w:val="24"/>
          <w:lang w:eastAsia="ru-RU"/>
        </w:rPr>
        <w:t xml:space="preserve"> анализатор выполнен во взрывонепроницаемой оболочке «d» в металлическом корпусе. Анализатор оснащен системой пробоподготовки с автоматической калибровкой и возможностью поочередного анализа двух потоков. Для переключения потоков установлены электромагнитные клапаны.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SimSun" w:cs="Times New Roman"/>
          <w:sz w:val="24"/>
          <w:szCs w:val="24"/>
          <w:lang w:eastAsia="ar-SA" w:bidi="hi-IN"/>
        </w:rPr>
      </w:pPr>
      <w:r>
        <w:rPr>
          <w:rFonts w:eastAsia="SimSun" w:cs="Times New Roman" w:ascii="Times New Roman" w:hAnsi="Times New Roman"/>
          <w:sz w:val="24"/>
          <w:szCs w:val="24"/>
          <w:lang w:eastAsia="ar-SA" w:bidi="hi-IN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1.1.3Принцип работы анализатора – электрохимический</w:t>
      </w:r>
      <w:r>
        <w:rPr/>
        <w:t>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>
          <w:rFonts w:cs="Times New Roman" w:ascii="Times New Roman" w:hAnsi="Times New Roman"/>
          <w:sz w:val="24"/>
          <w:szCs w:val="24"/>
        </w:rPr>
        <w:t>Тип анализатора – стационарный.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>
          <w:rFonts w:cs="Times New Roman" w:ascii="Times New Roman" w:hAnsi="Times New Roman"/>
          <w:sz w:val="24"/>
          <w:szCs w:val="24"/>
        </w:rPr>
        <w:t>Режим работы – непрерывный.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r>
        <w:rPr>
          <w:rFonts w:cs="Times New Roman" w:ascii="Times New Roman" w:hAnsi="Times New Roman"/>
          <w:sz w:val="24"/>
          <w:szCs w:val="24"/>
          <w:lang w:eastAsia="zh-CN" w:bidi="hi-IN"/>
        </w:rPr>
        <w:t>Вид климатического исполнения – не хуже УХЛ 3.1 по ГОСТ 15150-69.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zh-CN" w:bidi="hi-IN"/>
        </w:rPr>
      </w:pPr>
      <w:r>
        <w:rPr>
          <w:rFonts w:cs="Times New Roman" w:ascii="Times New Roman" w:hAnsi="Times New Roman"/>
          <w:iCs/>
          <w:sz w:val="24"/>
          <w:szCs w:val="24"/>
          <w:lang w:eastAsia="zh-CN" w:bidi="hi-IN"/>
        </w:rPr>
        <w:t>Конструкция анализатора обеспечивает дозирование, детектирование и фильтрацию анализируемых проб. Дозирование осуществляется переключающим клапаном.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r>
        <w:rPr>
          <w:rFonts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1.1.4 Пример записи обозначения продукции при ее заказе и в документации другой продукции, в которой она может быть применена:</w:t>
      </w:r>
    </w:p>
    <w:p>
      <w:pPr>
        <w:pStyle w:val="Default"/>
        <w:spacing w:before="0" w:after="0"/>
        <w:contextualSpacing/>
        <w:jc w:val="center"/>
        <w:rPr>
          <w:b/>
          <w:bCs/>
        </w:rPr>
      </w:pPr>
      <w:r>
        <w:rPr>
          <w:b/>
          <w:bCs/>
        </w:rPr>
        <w:t xml:space="preserve">Анализатор </w:t>
      </w:r>
      <w:r>
        <w:rPr>
          <w:b/>
        </w:rPr>
        <w:t>кислорода</w:t>
      </w:r>
      <w:r>
        <w:rPr>
          <w:b/>
          <w:bCs/>
        </w:rPr>
        <w:t xml:space="preserve"> промышленный</w:t>
      </w:r>
    </w:p>
    <w:p>
      <w:pPr>
        <w:pStyle w:val="Default"/>
        <w:spacing w:before="0" w:after="0"/>
        <w:contextualSpacing/>
        <w:jc w:val="center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«ХРОМОС О</w:t>
      </w:r>
      <w:r>
        <w:rPr>
          <w:b/>
          <w:bCs/>
          <w:vertAlign w:val="subscript"/>
        </w:rPr>
        <w:t>2</w:t>
      </w:r>
      <w:r>
        <w:rPr>
          <w:b/>
          <w:bCs/>
        </w:rPr>
        <w:t>» исполнение 1</w:t>
      </w:r>
    </w:p>
    <w:p>
      <w:pPr>
        <w:pStyle w:val="Normal"/>
        <w:spacing w:lineRule="auto" w:line="240" w:before="0" w:after="160"/>
        <w:contextualSpacing/>
        <w:jc w:val="center"/>
        <w:rPr>
          <w:color w:val="000000" w:themeColor="text1"/>
        </w:rPr>
      </w:pPr>
      <w:r>
        <w:rPr>
          <w:rFonts w:cs="Times New Roman" w:ascii="Times New Roman" w:hAnsi="Times New Roman"/>
          <w:b/>
          <w:bCs/>
          <w:color w:val="000000" w:themeColor="text1"/>
          <w:sz w:val="24"/>
          <w:szCs w:val="24"/>
        </w:rPr>
        <w:t xml:space="preserve">ТУ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26.51.53.110</w:t>
      </w:r>
      <w:r>
        <w:rPr>
          <w:rFonts w:cs="Times New Roman" w:ascii="Times New Roman" w:hAnsi="Times New Roman"/>
          <w:b/>
          <w:bCs/>
          <w:color w:val="000000" w:themeColor="text1"/>
          <w:sz w:val="24"/>
          <w:szCs w:val="24"/>
        </w:rPr>
        <w:t>-010-69502896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-2021</w:t>
      </w:r>
      <w:r>
        <w:rPr>
          <w:color w:val="000000" w:themeColor="text1"/>
        </w:rPr>
        <w:t>,</w:t>
      </w:r>
    </w:p>
    <w:p>
      <w:pPr>
        <w:pStyle w:val="Default"/>
        <w:spacing w:before="0" w:after="0"/>
        <w:contextualSpacing/>
        <w:jc w:val="center"/>
        <w:rPr>
          <w:b/>
          <w:bCs/>
        </w:rPr>
      </w:pPr>
      <w:r>
        <w:rPr>
          <w:b/>
          <w:bCs/>
        </w:rPr>
        <w:t xml:space="preserve">Анализатор </w:t>
      </w:r>
      <w:r>
        <w:rPr>
          <w:b/>
        </w:rPr>
        <w:t>кислорода</w:t>
      </w:r>
      <w:r>
        <w:rPr>
          <w:b/>
          <w:bCs/>
        </w:rPr>
        <w:t xml:space="preserve"> промышленный </w:t>
      </w:r>
    </w:p>
    <w:p>
      <w:pPr>
        <w:pStyle w:val="Default"/>
        <w:spacing w:before="0" w:after="0"/>
        <w:contextualSpacing/>
        <w:jc w:val="center"/>
        <w:rPr>
          <w:b/>
          <w:bCs/>
        </w:rPr>
      </w:pPr>
      <w:r>
        <w:rPr>
          <w:b/>
          <w:bCs/>
        </w:rPr>
        <w:t>«ХРОМОС О</w:t>
      </w:r>
      <w:r>
        <w:rPr>
          <w:b/>
          <w:bCs/>
          <w:vertAlign w:val="subscript"/>
        </w:rPr>
        <w:t>2</w:t>
      </w:r>
      <w:r>
        <w:rPr>
          <w:b/>
          <w:bCs/>
        </w:rPr>
        <w:t>» исполнение 2</w:t>
      </w:r>
    </w:p>
    <w:p>
      <w:pPr>
        <w:pStyle w:val="Normal"/>
        <w:spacing w:lineRule="auto" w:line="240" w:before="0" w:after="160"/>
        <w:contextualSpacing/>
        <w:jc w:val="center"/>
        <w:rPr>
          <w:color w:val="000000" w:themeColor="text1"/>
        </w:rPr>
      </w:pPr>
      <w:r>
        <w:rPr>
          <w:rFonts w:cs="Times New Roman" w:ascii="Times New Roman" w:hAnsi="Times New Roman"/>
          <w:b/>
          <w:bCs/>
          <w:color w:val="000000" w:themeColor="text1"/>
          <w:sz w:val="24"/>
          <w:szCs w:val="24"/>
        </w:rPr>
        <w:t xml:space="preserve">ТУ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26.51.53.110</w:t>
      </w:r>
      <w:r>
        <w:rPr>
          <w:rFonts w:cs="Times New Roman" w:ascii="Times New Roman" w:hAnsi="Times New Roman"/>
          <w:b/>
          <w:bCs/>
          <w:color w:val="000000" w:themeColor="text1"/>
          <w:sz w:val="24"/>
          <w:szCs w:val="24"/>
        </w:rPr>
        <w:t>-010-69502896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-2021</w:t>
      </w:r>
      <w:r>
        <w:rPr>
          <w:color w:val="000000" w:themeColor="text1"/>
        </w:rPr>
        <w:t>,</w:t>
      </w:r>
    </w:p>
    <w:p>
      <w:pPr>
        <w:pStyle w:val="Default"/>
        <w:spacing w:before="0" w:after="0"/>
        <w:ind w:firstLine="567"/>
        <w:contextualSpacing/>
        <w:jc w:val="both"/>
        <w:rPr/>
      </w:pPr>
      <w:r>
        <w:rPr/>
        <w:t>Где ХРОМОС О</w:t>
      </w:r>
      <w:r>
        <w:rPr>
          <w:vertAlign w:val="subscript"/>
        </w:rPr>
        <w:t>2</w:t>
      </w:r>
      <w:r>
        <w:rPr/>
        <w:t xml:space="preserve"> – наименование прибора;</w:t>
      </w:r>
    </w:p>
    <w:p>
      <w:pPr>
        <w:pStyle w:val="Default"/>
        <w:spacing w:before="0" w:after="0"/>
        <w:ind w:firstLine="567"/>
        <w:contextualSpacing/>
        <w:jc w:val="both"/>
        <w:rPr/>
      </w:pPr>
      <w:r>
        <w:rPr>
          <w:rFonts w:eastAsia="SimSun" w:cs="Mangal"/>
          <w:color w:val="000000" w:themeColor="text1"/>
          <w:lang w:eastAsia="zh-CN" w:bidi="hi-IN"/>
        </w:rPr>
        <w:t>1, 2 – исполнение во взрывонепроницаемой</w:t>
      </w:r>
      <w:r>
        <w:rPr/>
        <w:t xml:space="preserve"> оболочке </w:t>
      </w:r>
      <w:r>
        <w:rPr>
          <w:lang w:val="en-US"/>
        </w:rPr>
        <w:t>Ex</w:t>
      </w:r>
      <w:r>
        <w:rPr/>
        <w:t xml:space="preserve"> </w:t>
      </w:r>
      <w:r>
        <w:rPr>
          <w:lang w:val="en-US"/>
        </w:rPr>
        <w:t>d</w:t>
      </w:r>
      <w:r>
        <w:rPr/>
        <w:t>.</w:t>
      </w:r>
    </w:p>
    <w:p>
      <w:pPr>
        <w:pStyle w:val="Default"/>
        <w:spacing w:before="0" w:after="0"/>
        <w:ind w:firstLine="567"/>
        <w:contextualSpacing/>
        <w:jc w:val="both"/>
        <w:rPr/>
      </w:pPr>
      <w:r>
        <w:rPr/>
      </w:r>
    </w:p>
    <w:p>
      <w:pPr>
        <w:pStyle w:val="Default"/>
        <w:spacing w:before="0" w:after="0"/>
        <w:ind w:firstLine="567"/>
        <w:contextualSpacing/>
        <w:jc w:val="both"/>
        <w:rPr/>
      </w:pPr>
      <w:r>
        <w:rPr/>
      </w:r>
    </w:p>
    <w:p>
      <w:pPr>
        <w:pStyle w:val="2"/>
        <w:rPr/>
      </w:pPr>
      <w:bookmarkStart w:id="38" w:name="_Toc101279237"/>
      <w:bookmarkStart w:id="39" w:name="_Toc144879482_Копия_1"/>
      <w:bookmarkStart w:id="40" w:name="_Ref20880993_Копия_1"/>
      <w:bookmarkStart w:id="41" w:name="_Ref20880943_Копия_1"/>
      <w:bookmarkStart w:id="42" w:name="_Ref20880922_Копия_1"/>
      <w:bookmarkStart w:id="43" w:name="_Toc18893057_Копия_1"/>
      <w:bookmarkStart w:id="44" w:name="_Toc18891541_Копия_1"/>
      <w:bookmarkStart w:id="45" w:name="_Toc18834950_Копия_1"/>
      <w:bookmarkStart w:id="46" w:name="_Toc18834896_Копия_1"/>
      <w:bookmarkStart w:id="47" w:name="_Toc18834858_Копия_1"/>
      <w:bookmarkStart w:id="48" w:name="_Toc18834820_Копия_1"/>
      <w:bookmarkStart w:id="49" w:name="_Ref18831690_Копия_1"/>
      <w:bookmarkStart w:id="50" w:name="_Ref18831291_Копия_1"/>
      <w:bookmarkStart w:id="51" w:name="_Ref18830957_Копия_1"/>
      <w:bookmarkStart w:id="52" w:name="_Toc13644496_Копия_1"/>
      <w:bookmarkStart w:id="53" w:name="_Toc144879493"/>
      <w:bookmarkStart w:id="54" w:name="_Ref20880718"/>
      <w:bookmarkStart w:id="55" w:name="_Toc18893069"/>
      <w:bookmarkStart w:id="56" w:name="_Toc18891544"/>
      <w:bookmarkStart w:id="57" w:name="_Toc18834953"/>
      <w:bookmarkStart w:id="58" w:name="_Toc18834899"/>
      <w:bookmarkStart w:id="59" w:name="_Toc18834861"/>
      <w:bookmarkStart w:id="60" w:name="_Toc18834832"/>
      <w:bookmarkStart w:id="61" w:name="_Toc13644499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r>
        <w:rPr/>
        <w:t xml:space="preserve">1.2 </w:t>
      </w:r>
      <w:r>
        <w:rPr>
          <w:iCs/>
          <w:color w:val="00000A"/>
          <w:lang w:eastAsia="ar-SA" w:bidi="hi-IN"/>
        </w:rPr>
        <w:t>Технические</w:t>
      </w:r>
      <w:r>
        <w:rPr/>
        <w:t xml:space="preserve"> и метрологические характеристики</w:t>
      </w:r>
      <w:bookmarkEnd w:id="38"/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1.2.1 </w:t>
      </w:r>
      <w:bookmarkStart w:id="62" w:name="_Hlk97299153"/>
      <w:r>
        <w:rPr>
          <w:rFonts w:cs="Times New Roman" w:ascii="Times New Roman" w:hAnsi="Times New Roman"/>
          <w:sz w:val="24"/>
          <w:szCs w:val="24"/>
        </w:rPr>
        <w:t>Основные технические характеристики анализатора представлены в таблице 1.</w:t>
      </w:r>
      <w:bookmarkEnd w:id="62"/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Таблица 1 – Основные технические характеристики</w:t>
      </w:r>
    </w:p>
    <w:tbl>
      <w:tblPr>
        <w:tblpPr w:bottomFromText="0" w:horzAnchor="text" w:leftFromText="180" w:rightFromText="180" w:tblpX="0" w:tblpY="1" w:topFromText="0" w:vertAnchor="text"/>
        <w:tblW w:w="9776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388"/>
        <w:gridCol w:w="5387"/>
      </w:tblGrid>
      <w:tr>
        <w:trPr>
          <w:trHeight w:val="407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Давление анализируемого газа на входе в анализатор, МПа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0,1 ±0,05 </w:t>
            </w:r>
          </w:p>
        </w:tc>
      </w:tr>
      <w:tr>
        <w:trPr>
          <w:trHeight w:val="407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Количество анализируемых потоков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Исполнение 1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Исполнение 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1, 2 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 анализируемого газа, см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/мин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200-2000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Частота, Гц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50±1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Напряжение питания, В</w:t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1, постоянный ток</w:t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2, переменный ток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sSubSup>
                  <m:e>
                    <m:r>
                      <w:rPr>
                        <w:rFonts w:ascii="Cambria Math" w:hAnsi="Cambria Math"/>
                      </w:rPr>
                      <m:t xml:space="preserve">220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−</m:t>
                    </m:r>
                    <m:r>
                      <w:rPr>
                        <w:rFonts w:ascii="Cambria Math" w:hAnsi="Cambria Math"/>
                      </w:rPr>
                      <m:t xml:space="preserve">33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 xml:space="preserve">+</m:t>
                    </m:r>
                    <m:r>
                      <w:rPr>
                        <w:rFonts w:ascii="Cambria Math" w:hAnsi="Cambria Math"/>
                      </w:rPr>
                      <m:t xml:space="preserve">22</m:t>
                    </m:r>
                  </m:sup>
                </m:sSubSup>
              </m:oMath>
            </m:oMathPara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Передача данных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RS485(Modbus RTU),</w:t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4-20 mA, Ethernet</w:t>
            </w:r>
          </w:p>
        </w:tc>
      </w:tr>
      <w:tr>
        <w:trPr>
          <w:trHeight w:val="876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Потребляемая мощность, Вт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Исполнение 1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10</w:t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30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Вес (без упаковки), кг, не более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Исполнение 1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Исполнение 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55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Габариты, мм (ДхШхВ)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Исполнение 1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Исполнение 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282х182х135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433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333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х224</w:t>
            </w:r>
          </w:p>
        </w:tc>
      </w:tr>
      <w:tr>
        <w:trPr>
          <w:trHeight w:val="85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3" w:name="_Hlk97287315"/>
            <w:r>
              <w:rPr>
                <w:rFonts w:cs="Times New Roman" w:ascii="Times New Roman" w:hAnsi="Times New Roman"/>
                <w:sz w:val="24"/>
                <w:szCs w:val="24"/>
              </w:rPr>
              <w:t>Средний срок службы</w:t>
            </w:r>
            <w:bookmarkEnd w:id="63"/>
            <w:r>
              <w:rPr>
                <w:rFonts w:cs="Times New Roman" w:ascii="Times New Roman" w:hAnsi="Times New Roman"/>
                <w:sz w:val="24"/>
                <w:szCs w:val="24"/>
              </w:rPr>
              <w:t>, лет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Средняя наработка на отказ, ч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20000</w:t>
            </w:r>
          </w:p>
        </w:tc>
      </w:tr>
      <w:tr>
        <w:trPr>
          <w:trHeight w:val="333" w:hRule="atLeast"/>
          <w:cantSplit w:val="true"/>
        </w:trPr>
        <w:tc>
          <w:tcPr>
            <w:tcW w:w="9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эксплуатации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Температура окружающей среды, ºС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плюс 5 до плюс 50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Относительная влажность (при 25 ºС), %, не более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Атмосферное давление, кПа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84,0 до 106,7</w:t>
            </w:r>
          </w:p>
        </w:tc>
      </w:tr>
      <w:tr>
        <w:trPr>
          <w:trHeight w:val="333" w:hRule="atLeast"/>
          <w:cantSplit w:val="true"/>
        </w:trPr>
        <w:tc>
          <w:tcPr>
            <w:tcW w:w="9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Маркировка взрывозащиты: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Исполнение 1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Исполнение 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720" w:right="141" w:firstLine="567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r>
          </w:p>
          <w:p>
            <w:pPr>
              <w:pStyle w:val="211"/>
              <w:widowControl w:val="false"/>
              <w:spacing w:lineRule="auto" w:line="240" w:before="0" w:after="0"/>
              <w:ind w:left="720" w:right="141" w:hanging="36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1 Ex db IIB+H2 T6 Gb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Х</w:t>
            </w:r>
          </w:p>
          <w:p>
            <w:pPr>
              <w:pStyle w:val="211"/>
              <w:widowControl w:val="false"/>
              <w:spacing w:lineRule="auto" w:line="240" w:before="0" w:after="0"/>
              <w:ind w:left="720" w:right="141" w:hanging="36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1 Ex db IIB+H2 T6 Gb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Х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Подгруппа электрооборудования по ГОСТ 31610.0-</w:t>
            </w:r>
            <w:r>
              <w:rPr/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2019 (IEC 60079-0:2017)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IIВ</w:t>
            </w:r>
          </w:p>
        </w:tc>
      </w:tr>
      <w:tr>
        <w:trPr>
          <w:trHeight w:val="333" w:hRule="atLeast"/>
          <w:cantSplit w:val="true"/>
        </w:trPr>
        <w:tc>
          <w:tcPr>
            <w:tcW w:w="9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Температурный класс: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-Исполнение 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Т6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-Исполнение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Т6</w:t>
            </w:r>
          </w:p>
        </w:tc>
      </w:tr>
      <w:tr>
        <w:trPr>
          <w:trHeight w:val="333" w:hRule="atLeast"/>
          <w:cantSplit w:val="true"/>
        </w:trPr>
        <w:tc>
          <w:tcPr>
            <w:tcW w:w="9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Применяемый тип взрывозащиты: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-Исполнение 1</w:t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-взрывонепроницаемая оболочка по ГОСТ IEC 60079-1-2013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tabs>
                <w:tab w:val="left" w:pos="0" w:leader="none"/>
                <w:tab w:val="left" w:pos="708" w:leader="none"/>
              </w:tabs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-Исполнение 2</w:t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-взрывонепроницаемая оболочка по ГОСТ IEC 60079-1-2013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</w:tr>
      <w:tr>
        <w:trPr>
          <w:trHeight w:val="333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</w:tcPr>
          <w:p>
            <w:pPr>
              <w:pStyle w:val="211"/>
              <w:widowControl w:val="false"/>
              <w:spacing w:lineRule="auto" w:line="240" w:before="0" w:after="0"/>
              <w:ind w:left="0" w:right="141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Степень защиты от воздействия окружающей среды анализатора по ГОСТ 14254-2015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IEC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60529:2013)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Исполнение 1</w:t>
            </w:r>
          </w:p>
          <w:p>
            <w:pPr>
              <w:pStyle w:val="Normal"/>
              <w:widowControl w:val="false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IP67</w:t>
            </w:r>
          </w:p>
          <w:p>
            <w:pPr>
              <w:pStyle w:val="211"/>
              <w:widowControl w:val="false"/>
              <w:spacing w:lineRule="auto" w:line="240" w:before="0" w:after="0"/>
              <w:ind w:left="0" w:right="141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IP67</w:t>
            </w:r>
          </w:p>
        </w:tc>
      </w:tr>
    </w:tbl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1.2.2 Основные метрологические характеристики анализатора представлены в таблице 2.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2 – Основные метрологические характеристики</w:t>
      </w:r>
    </w:p>
    <w:tbl>
      <w:tblPr>
        <w:tblpPr w:bottomFromText="0" w:horzAnchor="text" w:leftFromText="180" w:rightFromText="180" w:tblpX="0" w:tblpY="1" w:topFromText="0" w:vertAnchor="text"/>
        <w:tblW w:w="9776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388"/>
        <w:gridCol w:w="2270"/>
        <w:gridCol w:w="1844"/>
        <w:gridCol w:w="1273"/>
      </w:tblGrid>
      <w:tr>
        <w:trPr>
          <w:trHeight w:val="515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ind w:left="-40" w:hanging="0"/>
              <w:contextualSpacing/>
              <w:jc w:val="center"/>
              <w:rPr>
                <w:rFonts w:ascii="Times New Roman" w:hAnsi="Times New Roman" w:eastAsia="MS Mincho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MS Mincho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характеристики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48" w:after="48"/>
              <w:contextualSpacing/>
              <w:jc w:val="center"/>
              <w:rPr>
                <w:rFonts w:ascii="Times New Roman" w:hAnsi="Times New Roman" w:eastAsia="MS Mincho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MS Mincho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>
        <w:trPr>
          <w:trHeight w:val="596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Диапазон измерения молярной доли кислорода, млн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 1 до 10000 млн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-1 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(0,0001-1,0000 % мол.)</w:t>
            </w:r>
          </w:p>
        </w:tc>
      </w:tr>
      <w:tr>
        <w:trPr>
          <w:trHeight w:val="1236" w:hRule="atLeast"/>
          <w:cantSplit w:val="true"/>
        </w:trPr>
        <w:tc>
          <w:tcPr>
            <w:tcW w:w="4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Пределы допускаемой основной абсолютной погрешности,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где С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bscript"/>
                <w:lang w:eastAsia="ru-RU"/>
              </w:rPr>
              <w:t>вх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– молярная доля определяемого компонента на входе анализатора, млн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  <w:t>-1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Диапазон измерения молярной доли кислорода, </w:t>
            </w:r>
            <w:bookmarkStart w:id="64" w:name="_Hlk97287763"/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млн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vertAlign w:val="superscript"/>
                <w:lang w:eastAsia="ru-RU"/>
              </w:rPr>
              <w:t>-1</w:t>
            </w:r>
            <w:bookmarkEnd w:id="64"/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(% мол.)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Пределы допускаемой основной абсолютной погрешности, 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млн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Предел допускаемого времени установления показаний, Т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vertAlign w:val="subscript"/>
                <w:lang w:eastAsia="ru-RU"/>
              </w:rPr>
              <w:t>0,9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, с</w:t>
            </w:r>
          </w:p>
        </w:tc>
      </w:tr>
      <w:tr>
        <w:trPr>
          <w:trHeight w:val="259" w:hRule="atLeast"/>
          <w:cantSplit w:val="true"/>
        </w:trPr>
        <w:tc>
          <w:tcPr>
            <w:tcW w:w="43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От 1 до 200 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(0,0001-0,0200)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65" w:name="_Hlk97287603"/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±(1,0+0,05·С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vertAlign w:val="subscript"/>
                <w:lang w:eastAsia="ru-RU"/>
              </w:rPr>
              <w:t>вх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) </w:t>
            </w:r>
            <w:bookmarkEnd w:id="65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>
        <w:trPr>
          <w:trHeight w:val="255" w:hRule="atLeast"/>
          <w:cantSplit w:val="true"/>
        </w:trPr>
        <w:tc>
          <w:tcPr>
            <w:tcW w:w="43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66" w:name="_Hlk97287620"/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От 1 до 500</w:t>
            </w:r>
            <w:bookmarkEnd w:id="66"/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(0,0001-0,0500)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67" w:name="_Hlk97287636"/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±(1,0+0,05·С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vertAlign w:val="subscript"/>
                <w:lang w:eastAsia="ru-RU"/>
              </w:rPr>
              <w:t>вх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) </w:t>
            </w:r>
            <w:bookmarkEnd w:id="67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>
        <w:trPr>
          <w:trHeight w:val="255" w:hRule="atLeast"/>
          <w:cantSplit w:val="true"/>
        </w:trPr>
        <w:tc>
          <w:tcPr>
            <w:tcW w:w="43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От 1 до 1000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(0,0001-0,1000)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68" w:name="_Hlk97287675"/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±(4,0+0,08·С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vertAlign w:val="subscript"/>
                <w:lang w:eastAsia="ru-RU"/>
              </w:rPr>
              <w:t>вх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) </w:t>
            </w:r>
            <w:bookmarkEnd w:id="68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</w:tr>
      <w:tr>
        <w:trPr>
          <w:trHeight w:val="465" w:hRule="atLeast"/>
          <w:cantSplit w:val="true"/>
        </w:trPr>
        <w:tc>
          <w:tcPr>
            <w:tcW w:w="438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От 1 до 5000 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0,0001-0,5000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69" w:name="_Hlk97287695"/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±(50+0,06·С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vertAlign w:val="subscript"/>
                <w:lang w:eastAsia="ru-RU"/>
              </w:rPr>
              <w:t>вх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) </w:t>
            </w:r>
            <w:bookmarkEnd w:id="69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</w:tr>
      <w:tr>
        <w:trPr>
          <w:trHeight w:val="255" w:hRule="atLeast"/>
          <w:cantSplit w:val="true"/>
        </w:trPr>
        <w:tc>
          <w:tcPr>
            <w:tcW w:w="43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70" w:name="_Hlk97287711"/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От 1 до 10000 </w:t>
            </w:r>
            <w:bookmarkEnd w:id="70"/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(0,0001-1,0000)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71" w:name="_Hlk97287731"/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±(90+0,06·С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vertAlign w:val="subscript"/>
                <w:lang w:eastAsia="ru-RU"/>
              </w:rPr>
              <w:t>вх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) </w:t>
            </w:r>
            <w:bookmarkEnd w:id="71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</w:tr>
      <w:tr>
        <w:trPr>
          <w:trHeight w:val="255" w:hRule="atLeast"/>
          <w:cantSplit w:val="true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Диапазон измерения молярной доли кислорода, %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 0,1 % до 25 %</w:t>
            </w:r>
          </w:p>
        </w:tc>
      </w:tr>
      <w:tr>
        <w:trPr>
          <w:trHeight w:val="1682" w:hRule="atLeast"/>
          <w:cantSplit w:val="true"/>
        </w:trPr>
        <w:tc>
          <w:tcPr>
            <w:tcW w:w="4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Пределы допускаемой основной абсолютной погрешности,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где С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bscript"/>
                <w:lang w:eastAsia="ru-RU"/>
              </w:rPr>
              <w:t>вх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– молярная доля определяемого компонента на входе анализатора, %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Диапазон измерения молярной доли кислорода, %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Пределы допускаемой основной абсолютной погрешности, %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Предел допускаемого времени установления показаний, Т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vertAlign w:val="subscript"/>
                <w:lang w:eastAsia="ru-RU"/>
              </w:rPr>
              <w:t>0,9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, с</w:t>
            </w:r>
          </w:p>
        </w:tc>
      </w:tr>
      <w:tr>
        <w:trPr>
          <w:trHeight w:val="277" w:hRule="atLeast"/>
          <w:cantSplit w:val="true"/>
        </w:trPr>
        <w:tc>
          <w:tcPr>
            <w:tcW w:w="43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От 0,1 до 100</w:t>
            </w:r>
          </w:p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bookmarkStart w:id="72" w:name="_Hlk97287902"/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±(0,5+0,03·С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vertAlign w:val="subscript"/>
                <w:lang w:eastAsia="ru-RU"/>
              </w:rPr>
              <w:t>вх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)</w:t>
            </w:r>
            <w:bookmarkEnd w:id="72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</w:tr>
    </w:tbl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1.2.3 По способу защиты от поражения электрическим током анализатор относится к 1 классу безопасности по ГОСТ 12.2.007.0.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1.2.4 Электрическое сопротивление изоляции силовых электрических цепей анализатора относительно корпуса должно быть не менее 20 МОм при рабочих условиях эксплуатации.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1.2.5 Электрическое сопротивление между клеммой заземления и доступными прикосновению металлическими не токоведущими частями анализатора должно быть не более 0,1 Ом.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1.2.6 Электрическая изоляция силовых электрических цепей анализатора относительно корпуса и между собой должна выдерживать в течение одной минуты воздействие испытательного синусоидального напряжения 1500 В, частотой 50 Гц.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1.2.7 Газовые линии должны быть герметичны при давлении газа – 0,2 МПа.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1276" w:leader="none"/>
        </w:tabs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1.2.8 Время выхода анализатора на режим – не более 1 часа. </w:t>
      </w:r>
      <w:r>
        <w:rPr>
          <w:rFonts w:cs="Times New Roman" w:ascii="Times New Roman" w:hAnsi="Times New Roman"/>
          <w:sz w:val="24"/>
          <w:szCs w:val="24"/>
        </w:rPr>
        <w:t>Выход на режим после замены ЭХД кислорода может занять до 24 ч.</w:t>
      </w:r>
    </w:p>
    <w:p>
      <w:pPr>
        <w:pStyle w:val="ListParagraph"/>
        <w:tabs>
          <w:tab w:val="left" w:pos="708" w:leader="none"/>
          <w:tab w:val="left" w:pos="1276" w:leader="none"/>
        </w:tabs>
        <w:spacing w:lineRule="auto" w:line="240" w:before="0" w:after="0"/>
        <w:ind w:left="1429" w:firstLine="567"/>
        <w:contextualSpacing/>
        <w:jc w:val="both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spacing w:lineRule="auto" w:line="360" w:before="0" w:after="0"/>
        <w:ind w:right="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1.2.9 Анализатор работает в изотермическом режиме.</w:t>
      </w:r>
    </w:p>
    <w:p>
      <w:pPr>
        <w:pStyle w:val="Normal"/>
        <w:spacing w:lineRule="auto" w:line="360" w:before="0" w:after="0"/>
        <w:ind w:right="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2"/>
        <w:rPr/>
      </w:pPr>
      <w:bookmarkStart w:id="73" w:name="_Toc101279238"/>
      <w:r>
        <w:rPr/>
        <w:t>1.3 Комплектность</w:t>
      </w:r>
      <w:bookmarkEnd w:id="73"/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Комплектность анализатора должна соответствовать таблице 3.</w:t>
      </w:r>
    </w:p>
    <w:p>
      <w:pPr>
        <w:pStyle w:val="NormalWeb"/>
        <w:spacing w:before="280" w:after="280"/>
        <w:contextualSpacing/>
        <w:rPr>
          <w:color w:val="FF0000"/>
          <w:lang w:val="en-US"/>
        </w:rPr>
      </w:pPr>
      <w:r>
        <w:rPr>
          <w:color w:val="000000" w:themeColor="text1"/>
          <w:lang w:val="en-US"/>
        </w:rPr>
        <w:t xml:space="preserve">Таблица </w:t>
      </w:r>
      <w:r>
        <w:rPr>
          <w:color w:val="000000" w:themeColor="text1"/>
        </w:rPr>
        <w:t>3– Комплектность анализатора</w:t>
      </w:r>
    </w:p>
    <w:tbl>
      <w:tblPr>
        <w:tblW w:w="9495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07"/>
        <w:gridCol w:w="2739"/>
        <w:gridCol w:w="1649"/>
      </w:tblGrid>
      <w:tr>
        <w:trPr>
          <w:trHeight w:val="836" w:hRule="atLeast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Web"/>
              <w:widowControl w:val="false"/>
              <w:spacing w:before="0" w:after="0"/>
              <w:contextualSpacing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Наименование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Web"/>
              <w:widowControl w:val="false"/>
              <w:spacing w:before="0" w:after="0"/>
              <w:contextualSpacing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Обозначение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Web"/>
              <w:widowControl w:val="false"/>
              <w:spacing w:before="0" w:after="0"/>
              <w:contextualSpacing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Количество, шт</w:t>
            </w:r>
          </w:p>
        </w:tc>
      </w:tr>
      <w:tr>
        <w:trPr>
          <w:trHeight w:val="1278" w:hRule="atLeast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/>
              <w:t>Анализатор кислорода промышленный</w:t>
            </w:r>
            <w:r>
              <w:rPr>
                <w:color w:val="000000"/>
              </w:rPr>
              <w:t xml:space="preserve"> «ХРОМОС О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color w:val="000000"/>
              </w:rPr>
              <w:t>» с предустановленным ПО «Окси-Т»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>
        <w:trPr>
          <w:trHeight w:val="418" w:hRule="atLeast"/>
        </w:trPr>
        <w:tc>
          <w:tcPr>
            <w:tcW w:w="9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Документация</w:t>
            </w:r>
          </w:p>
        </w:tc>
      </w:tr>
      <w:tr>
        <w:trPr>
          <w:trHeight w:val="418" w:hRule="atLeast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Паспорт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ХАС 2.320.010 ПС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>
        <w:trPr>
          <w:trHeight w:val="441" w:hRule="atLeast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Руководство по эксплуатации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ХАС 2.320.010 РЭ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>
        <w:trPr>
          <w:trHeight w:val="418" w:hRule="atLeast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Методика поверки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/>
              <w:t>ХАС 2.320.010 МП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>
        <w:trPr>
          <w:trHeight w:val="836" w:hRule="atLeast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bCs/>
              </w:rPr>
            </w:pPr>
            <w:r>
              <w:rPr/>
              <w:t>Копия сертификата соответствия требованиям по взрывозащите анализатора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ЕАЭС </w:t>
            </w:r>
            <w:r>
              <w:rPr>
                <w:color w:val="000000"/>
                <w:lang w:val="en-US"/>
              </w:rPr>
              <w:t>RU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</w:rPr>
              <w:t xml:space="preserve">- </w:t>
            </w:r>
            <w:r>
              <w:rPr>
                <w:color w:val="000000"/>
                <w:lang w:val="en-US"/>
              </w:rPr>
              <w:t>RU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BH</w:t>
            </w:r>
            <w:r>
              <w:rPr>
                <w:color w:val="000000"/>
              </w:rPr>
              <w:t>02.</w:t>
            </w:r>
            <w:r>
              <w:rPr>
                <w:color w:val="000000"/>
                <w:lang w:val="en-US"/>
              </w:rPr>
              <w:t>B</w:t>
            </w:r>
            <w:r>
              <w:rPr>
                <w:color w:val="000000"/>
              </w:rPr>
              <w:t>.00813/22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>
        <w:trPr>
          <w:trHeight w:val="859" w:hRule="atLeast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bCs/>
              </w:rPr>
            </w:pPr>
            <w:r>
              <w:rPr/>
              <w:t>Копия свидетельства об утверждении типа средства измерения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>
        <w:trPr>
          <w:trHeight w:val="438" w:hRule="atLeast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/>
            </w:pPr>
            <w:r>
              <w:rPr>
                <w:bCs/>
              </w:rPr>
              <w:t>Комплект ЗИП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>
      <w:pPr>
        <w:pStyle w:val="NormalWeb"/>
        <w:spacing w:before="280" w:after="280"/>
        <w:contextualSpacing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2"/>
        <w:rPr>
          <w:rFonts w:eastAsia="SimSun"/>
        </w:rPr>
      </w:pPr>
      <w:bookmarkStart w:id="74" w:name="_Toc101279239"/>
      <w:r>
        <w:rPr/>
        <w:t>1.4 Устройство</w:t>
      </w:r>
      <w:bookmarkEnd w:id="74"/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1.4.1 Общий вид анализатора в исполнении 1 и исполнении 2 с открытой крышкой представлен на рисунках 1 и 2.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="280"/>
        <w:ind w:right="3258" w:hanging="1701"/>
        <w:contextualSpacing/>
        <w:jc w:val="both"/>
        <w:rPr/>
      </w:pPr>
      <w:r>
        <w:rPr/>
      </w:r>
    </w:p>
    <w:p>
      <w:pPr>
        <w:pStyle w:val="NormalWeb"/>
        <w:spacing w:before="280" w:after="280"/>
        <w:ind w:left="-1701" w:right="3258" w:firstLine="992"/>
        <w:contextualSpacing/>
        <w:jc w:val="center"/>
        <w:rPr/>
      </w:pPr>
      <w:r>
        <w:rPr/>
        <w:drawing>
          <wp:inline distT="0" distB="0" distL="0" distR="0">
            <wp:extent cx="6341745" cy="3981450"/>
            <wp:effectExtent l="0" t="0" r="0" b="0"/>
            <wp:docPr id="3" name="Рисунок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749" t="2017" r="1765" b="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contextualSpacing/>
        <w:jc w:val="both"/>
        <w:rPr/>
      </w:pPr>
      <w:r>
        <w:rPr/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t>Рисунок 1 – Общий вид анализатора в исполнении 1 с открытой крышкой</w:t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</w:r>
    </w:p>
    <w:p>
      <w:pPr>
        <w:pStyle w:val="NormalWeb"/>
        <w:spacing w:before="280" w:after="280"/>
        <w:contextualSpacing/>
        <w:jc w:val="both"/>
        <w:rPr/>
      </w:pPr>
      <w:r>
        <w:rPr/>
      </w:r>
    </w:p>
    <w:p>
      <w:pPr>
        <w:pStyle w:val="NormalWeb"/>
        <w:spacing w:lineRule="auto" w:line="360" w:before="280" w:after="280"/>
        <w:ind w:left="-851" w:hanging="0"/>
        <w:contextualSpacing/>
        <w:rPr/>
      </w:pPr>
      <w:r>
        <w:rPr/>
        <w:drawing>
          <wp:inline distT="0" distB="0" distL="0" distR="0">
            <wp:extent cx="6419850" cy="4210050"/>
            <wp:effectExtent l="0" t="0" r="0" b="0"/>
            <wp:docPr id="4" name="Рисунок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360" w:before="280" w:after="280"/>
        <w:ind w:left="-851" w:hanging="0"/>
        <w:contextualSpacing/>
        <w:jc w:val="center"/>
        <w:rPr/>
      </w:pPr>
      <w:r>
        <w:rPr/>
        <w:t>Рисунок 2 – Общий вид анализатора в исполнении 2 с открытой крышкой</w:t>
      </w:r>
    </w:p>
    <w:p>
      <w:pPr>
        <w:pStyle w:val="NormalWeb"/>
        <w:spacing w:lineRule="auto" w:line="360" w:before="280" w:after="280"/>
        <w:ind w:left="-851" w:hanging="0"/>
        <w:contextualSpacing/>
        <w:jc w:val="center"/>
        <w:rPr/>
      </w:pPr>
      <w:r>
        <w:rPr/>
      </w:r>
    </w:p>
    <w:p>
      <w:pPr>
        <w:pStyle w:val="2"/>
        <w:rPr/>
      </w:pPr>
      <w:bookmarkStart w:id="75" w:name="_Toc416962036"/>
      <w:bookmarkStart w:id="76" w:name="_Toc101279240"/>
      <w:bookmarkStart w:id="77" w:name="_Toc144879493_Копия_1"/>
      <w:bookmarkStart w:id="78" w:name="_Ref20880718_Копия_1"/>
      <w:bookmarkStart w:id="79" w:name="_Toc18893069_Копия_1"/>
      <w:bookmarkStart w:id="80" w:name="_Toc18891544_Копия_1"/>
      <w:bookmarkStart w:id="81" w:name="_Toc18834953_Копия_1"/>
      <w:bookmarkStart w:id="82" w:name="_Toc18834899_Копия_1"/>
      <w:bookmarkStart w:id="83" w:name="_Toc18834861_Копия_1"/>
      <w:bookmarkStart w:id="84" w:name="_Toc18834832_Копия_1"/>
      <w:bookmarkStart w:id="85" w:name="_Toc13644499_Копия_1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>
        <w:rPr/>
        <w:t>1.5 Принцип работы</w:t>
      </w:r>
      <w:bookmarkEnd w:id="76"/>
      <w:r>
        <w:rPr/>
        <w:t xml:space="preserve"> </w:t>
      </w:r>
      <w:bookmarkEnd w:id="75"/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1.5.1 Принцип работы электрохимического датчика кислорода (ЭХД)</w:t>
      </w:r>
    </w:p>
    <w:p>
      <w:pPr>
        <w:pStyle w:val="NormalWeb"/>
        <w:spacing w:before="280" w:after="280"/>
        <w:ind w:firstLine="567"/>
        <w:jc w:val="both"/>
        <w:rPr/>
      </w:pPr>
      <w:r>
        <w:rPr/>
        <w:t>Датчиком кислорода, используемый в анализаторе, является 2-х электродный электрохимический датчик (ЭХД). В зависимости от диапазона могут использоваться разные типы ЭХД. Датчик представляет собой цилиндр из инертного пластика, с одной стороны под сеткой размещена проницаемая для кислорода мембрана, а с другой стороны – два концентрических электрода из медной фольги.</w:t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4318000" cy="2447925"/>
            <wp:effectExtent l="0" t="0" r="0" b="0"/>
            <wp:docPr id="5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/>
        <w:t>Рисунок 3 – Внутреннее устройство ЭХД кислорода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В верхней части ЭХД находится диффузионная мембрана из тефлона (рис.1). Под ней находится перфорированный катод, покрытый слоем электролита. Электролитом могут быть растворы KOH, K</w:t>
      </w:r>
      <w:r>
        <w:rPr>
          <w:vertAlign w:val="subscript"/>
        </w:rPr>
        <w:t>2</w:t>
      </w:r>
      <w:r>
        <w:rPr/>
        <w:t>CO</w:t>
      </w:r>
      <w:r>
        <w:rPr>
          <w:vertAlign w:val="subscript"/>
        </w:rPr>
        <w:t>3</w:t>
      </w:r>
      <w:r>
        <w:rPr/>
        <w:t>, CH</w:t>
      </w:r>
      <w:r>
        <w:rPr>
          <w:vertAlign w:val="subscript"/>
        </w:rPr>
        <w:t>3</w:t>
      </w:r>
      <w:r>
        <w:rPr/>
        <w:t>COOK или CH</w:t>
      </w:r>
      <w:r>
        <w:rPr>
          <w:vertAlign w:val="subscript"/>
        </w:rPr>
        <w:t>3</w:t>
      </w:r>
      <w:r>
        <w:rPr/>
        <w:t xml:space="preserve">COOН. Анод изготовлен из свинца. В нижней части ЭХД, ниже анода, расположена мембрана, предназначенная для компенсации колебаний атмосферного давления. Снизу же расположенные контактные электроды, подключенные к катоду и аноду.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Проба газа диффундирует через тефлоновую мембрану. На катоде протекает реакция (1), а на аноде - реакция (2):</w:t>
      </w:r>
    </w:p>
    <w:p>
      <w:pPr>
        <w:pStyle w:val="NormalWeb"/>
        <w:spacing w:before="280" w:after="280"/>
        <w:ind w:left="2836" w:hanging="0"/>
        <w:contextualSpacing/>
        <w:jc w:val="center"/>
        <w:rPr/>
      </w:pPr>
      <w:r>
        <w:rPr/>
        <w:t>O</w:t>
      </w:r>
      <w:r>
        <w:rPr>
          <w:vertAlign w:val="subscript"/>
        </w:rPr>
        <w:t>2</w:t>
      </w:r>
      <w:r>
        <w:rPr/>
        <w:t xml:space="preserve"> + 2H</w:t>
      </w:r>
      <w:r>
        <w:rPr>
          <w:vertAlign w:val="subscript"/>
        </w:rPr>
        <w:t>2</w:t>
      </w:r>
      <w:r>
        <w:rPr/>
        <w:t>O + 4e</w:t>
      </w:r>
      <w:r>
        <w:rPr>
          <w:vertAlign w:val="superscript"/>
        </w:rPr>
        <w:t>-</w:t>
      </w:r>
      <w:r>
        <w:rPr/>
        <w:t xml:space="preserve"> = 4OH</w:t>
      </w:r>
      <w:r>
        <w:rPr>
          <w:vertAlign w:val="superscript"/>
        </w:rPr>
        <w:t>-</w:t>
      </w:r>
      <w:r>
        <w:rPr/>
        <w:t xml:space="preserve"> (катод),</w:t>
        <w:tab/>
        <w:t xml:space="preserve">                                           (1)</w:t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t xml:space="preserve">                             </w:t>
      </w:r>
      <w:r>
        <w:rPr/>
        <w:t>2Pb + 4OH</w:t>
      </w:r>
      <w:r>
        <w:rPr>
          <w:vertAlign w:val="superscript"/>
        </w:rPr>
        <w:t>-</w:t>
      </w:r>
      <w:r>
        <w:rPr/>
        <w:t xml:space="preserve"> = 2PbО + 2H</w:t>
      </w:r>
      <w:r>
        <w:rPr>
          <w:vertAlign w:val="subscript"/>
        </w:rPr>
        <w:t>2</w:t>
      </w:r>
      <w:r>
        <w:rPr/>
        <w:t>O + 4e</w:t>
      </w:r>
      <w:r>
        <w:rPr>
          <w:vertAlign w:val="superscript"/>
        </w:rPr>
        <w:t>-</w:t>
      </w:r>
      <w:r>
        <w:rPr/>
        <w:t xml:space="preserve"> (анод).                                            (2)</w:t>
      </w:r>
    </w:p>
    <w:p>
      <w:pPr>
        <w:pStyle w:val="NormalWeb"/>
        <w:spacing w:before="280" w:after="280"/>
        <w:ind w:firstLine="567"/>
        <w:contextualSpacing/>
        <w:rPr/>
      </w:pPr>
      <w:r>
        <w:rPr/>
        <w:t>Суммарное уравнение окислительно-восстановительной реакции следующее:</w:t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t xml:space="preserve">                                               </w:t>
      </w:r>
      <w:r>
        <w:rPr/>
        <w:t>2</w:t>
      </w:r>
      <w:r>
        <w:rPr>
          <w:lang w:val="en-US"/>
        </w:rPr>
        <w:t>Pb</w:t>
      </w:r>
      <w:r>
        <w:rPr/>
        <w:t xml:space="preserve"> + </w:t>
      </w:r>
      <w:r>
        <w:rPr>
          <w:lang w:val="en-US"/>
        </w:rPr>
        <w:t>O</w:t>
      </w:r>
      <w:r>
        <w:rPr>
          <w:vertAlign w:val="subscript"/>
        </w:rPr>
        <w:t>2</w:t>
      </w:r>
      <w:r>
        <w:rPr/>
        <w:t xml:space="preserve"> → 2</w:t>
      </w:r>
      <w:r>
        <w:rPr>
          <w:lang w:val="en-US"/>
        </w:rPr>
        <w:t>PbO</w:t>
      </w:r>
      <w:r>
        <w:rPr/>
        <w:t>.                                                               (3)</w:t>
      </w:r>
    </w:p>
    <w:p>
      <w:pPr>
        <w:pStyle w:val="NormalWeb"/>
        <w:spacing w:before="280" w:after="280"/>
        <w:ind w:firstLine="567"/>
        <w:contextualSpacing/>
        <w:rPr/>
      </w:pPr>
      <w:r>
        <w:rPr/>
        <w:t xml:space="preserve">Сигналом датчика является ток, который пропорционален количеству кислорода, продиффундировавшего внутрь датчика. Измерение плотности электрического тока проводят при постоянно прикладываемом электрическом потенциале. При отсутствии кислорода ток не генерируется. Ток датчика в рабочем диапазоне концентраций линейно зависит от концентрации кислорода. Обычно для калибровки достаточно одной точки с известной концентрацией газа.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 xml:space="preserve">1.5.2 Факторы, влияющие на работу ЭХД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1) Влияние окислителей. </w:t>
      </w:r>
    </w:p>
    <w:p>
      <w:pPr>
        <w:pStyle w:val="NormalWeb"/>
        <w:spacing w:before="280" w:after="280"/>
        <w:ind w:firstLine="567"/>
        <w:rPr/>
      </w:pPr>
      <w:r>
        <w:rPr/>
        <w:t>Кроме кислорода отклик ЭХД могут вызывать некоторые сильные окислители, такие как хлор или озон. H</w:t>
      </w:r>
      <w:r>
        <w:rPr>
          <w:vertAlign w:val="subscript"/>
        </w:rPr>
        <w:t>2</w:t>
      </w:r>
      <w:r>
        <w:rPr/>
        <w:t>S и SO</w:t>
      </w:r>
      <w:r>
        <w:rPr>
          <w:vertAlign w:val="subscript"/>
        </w:rPr>
        <w:t>2</w:t>
      </w:r>
      <w:r>
        <w:rPr/>
        <w:t xml:space="preserve"> в концентрациях более 10 млн</w:t>
      </w:r>
      <w:r>
        <w:rPr>
          <w:vertAlign w:val="superscript"/>
        </w:rPr>
        <w:t>-1</w:t>
      </w:r>
      <w:r>
        <w:rPr/>
        <w:t xml:space="preserve"> могут искажать показания или привести к выходу ЭХД из строя. </w:t>
      </w:r>
    </w:p>
    <w:p>
      <w:pPr>
        <w:pStyle w:val="NormalWeb"/>
        <w:spacing w:before="280" w:after="280"/>
        <w:ind w:firstLine="567"/>
        <w:contextualSpacing/>
        <w:rPr/>
      </w:pPr>
      <w:r>
        <w:rPr/>
        <w:t xml:space="preserve">2) Влияние давления. </w:t>
      </w:r>
    </w:p>
    <w:p>
      <w:pPr>
        <w:pStyle w:val="NormalWeb"/>
        <w:spacing w:before="280" w:after="280"/>
        <w:ind w:firstLine="567"/>
        <w:contextualSpacing/>
        <w:rPr/>
      </w:pPr>
      <w:r>
        <w:rPr/>
        <w:t>Необходимо, чтобы ЭХД кислорода находился при атмосферном давлении. Сигнал ЭХД кислорода пропорционален парциальному давлению кислорода. Резкие колебания давления более 0,1 атм могут повредить мембрану ЭХД.</w:t>
      </w:r>
    </w:p>
    <w:p>
      <w:pPr>
        <w:pStyle w:val="NormalWeb"/>
        <w:spacing w:before="280" w:after="280"/>
        <w:ind w:firstLine="567"/>
        <w:contextualSpacing/>
        <w:rPr/>
      </w:pPr>
      <w:r>
        <w:rPr/>
      </w:r>
    </w:p>
    <w:p>
      <w:pPr>
        <w:pStyle w:val="NormalWeb"/>
        <w:spacing w:before="280" w:after="280"/>
        <w:ind w:firstLine="567"/>
        <w:contextualSpacing/>
        <w:rPr/>
      </w:pPr>
      <w:r>
        <w:rPr/>
        <w:t xml:space="preserve">3) Влияние температуры.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Так как скорость диффузии газа зависит от температуры, желательно поддерживать постоянную температуру датчика. Для этого в корпусе, в который размещен датчик, установлен термостат на основе элемента Пельтье.</w:t>
      </w:r>
    </w:p>
    <w:p>
      <w:pPr>
        <w:pStyle w:val="NormalWeb"/>
        <w:spacing w:before="280" w:after="280"/>
        <w:ind w:firstLine="567"/>
        <w:jc w:val="both"/>
        <w:rPr>
          <w:i/>
          <w:i/>
          <w:iCs/>
        </w:rPr>
      </w:pPr>
      <w:r>
        <w:rPr>
          <w:i/>
          <w:iCs/>
        </w:rPr>
        <w:t>Сенсор кислорода, используемый в данном приборе, имеет токовый выход пропорциональный концентрации кислорода, среднее значение токового выхода составляет 2.2 нА/ррм, т.е. при концентрации кислорода 1% = 10 000 рр</w:t>
      </w:r>
      <w:r>
        <w:rPr>
          <w:i/>
          <w:iCs/>
          <w:lang w:val="en-US"/>
        </w:rPr>
        <w:t>m</w:t>
      </w:r>
      <w:r>
        <w:rPr>
          <w:i/>
          <w:iCs/>
        </w:rPr>
        <w:t xml:space="preserve">, токовый выход равен 22 000 нА = 22 мкА, в зависимости от экземпляра сенсора эта величина меняется от 16 до 28 мкА. Причем в зависимости от экземпляра этот выход может изменяться до 30%. Для измерения тока используется преобразователь ток-напряжение и аналого-цифровой преобразователь (АЦП). Диапазон и чувствительность определяются коэффициентом преобразования тока в напряжения и величиной максимального измеряемого напряжения, последнее составляет 2.5 В = 2500 мВ. Коэффициент преобразования определяется резистором обратной связи. Резистор обратной связи состоит из постоянной и переменной составляющих. Переменная составляющая устанавливается только для приборов, предназначенных для измерения содержания кислорода более 1 %. Максимальная величина переменной составляющей может иметь значения 10 или 100 кОм, а фактическая величина задается установкой резистора. Установка изменяется от 256 (при этом фактическая величина равна максимальной), до 0 (при этом фактическая величина равна нулю). Установка по умолчанию равна 128, т.е. фактическая величина равна половине максимальной. Значение постоянной составляющей выбираются при помощи джампера на плате контроллера и составляют 1 кОм (только для измерения &gt; 1%), 200 кОм, 1 мОм, 2 мОм, и 5 мОм. Для 5 мОм расчетный диапазон измерения составляет 100 ррм, для 2 мОм – 250 ррм, для 1 мОм – 500 ррм, для 200 кОм – 2500 ррм.  </w:t>
      </w:r>
    </w:p>
    <w:p>
      <w:pPr>
        <w:pStyle w:val="NormalWeb"/>
        <w:spacing w:before="280" w:after="280"/>
        <w:ind w:firstLine="567"/>
        <w:jc w:val="both"/>
        <w:rPr>
          <w:i/>
          <w:i/>
          <w:iCs/>
        </w:rPr>
      </w:pPr>
      <w:r>
        <w:rPr>
          <w:i/>
          <w:iCs/>
        </w:rPr>
        <w:t>К сожалению, ток сенсора зависит не только от концентрации кислорода, но и от температуры окружающей среды. Для того, чтобы привести показания тока детектора к нормальной температуре равной 25</w:t>
      </w:r>
      <w:r>
        <w:rPr>
          <w:i/>
          <w:iCs/>
          <w:vertAlign w:val="superscript"/>
        </w:rPr>
        <w:t>о</w:t>
      </w:r>
      <w:r>
        <w:rPr>
          <w:i/>
          <w:iCs/>
        </w:rPr>
        <w:t xml:space="preserve">С, величину тока надо разделить на температурный коэффициент </w:t>
      </w:r>
      <w:r>
        <w:rPr>
          <w:i/>
          <w:iCs/>
          <w:lang w:val="en-US"/>
        </w:rPr>
        <w:t>Pcoe</w:t>
      </w:r>
      <w:r>
        <w:rPr>
          <w:i/>
          <w:iCs/>
        </w:rPr>
        <w:t>, зависимость которого от температуры представлена на рисунке 41.</w:t>
      </w:r>
    </w:p>
    <w:p>
      <w:pPr>
        <w:pStyle w:val="NormalWeb"/>
        <w:spacing w:before="280" w:after="280"/>
        <w:contextualSpacing/>
        <w:jc w:val="both"/>
        <w:rPr/>
      </w:pPr>
      <w:r>
        <w:rPr/>
      </w:r>
    </w:p>
    <w:p>
      <w:pPr>
        <w:pStyle w:val="NormalWeb"/>
        <w:spacing w:before="280" w:after="280"/>
        <w:contextualSpacing/>
        <w:rPr>
          <w:lang w:val="en-US"/>
        </w:rPr>
      </w:pPr>
      <w:r>
        <w:rPr/>
        <w:drawing>
          <wp:inline distT="0" distB="0" distL="0" distR="0">
            <wp:extent cx="5939790" cy="2459355"/>
            <wp:effectExtent l="0" t="0" r="0" b="0"/>
            <wp:docPr id="6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ind w:firstLine="567"/>
        <w:jc w:val="center"/>
        <w:rPr/>
      </w:pPr>
      <w:r>
        <w:rPr/>
        <w:t>Рисунок 4 – Зависимость Рсое от температуры</w:t>
      </w:r>
    </w:p>
    <w:p>
      <w:pPr>
        <w:pStyle w:val="NormalWeb"/>
        <w:spacing w:before="280" w:after="280"/>
        <w:ind w:firstLine="567"/>
        <w:jc w:val="both"/>
        <w:rPr>
          <w:i/>
          <w:i/>
          <w:iCs/>
        </w:rPr>
      </w:pPr>
      <w:r>
        <w:rPr>
          <w:i/>
          <w:iCs/>
        </w:rPr>
        <w:t>Алгоритм измерения, следующий:</w:t>
      </w:r>
    </w:p>
    <w:p>
      <w:pPr>
        <w:pStyle w:val="NormalWeb"/>
        <w:numPr>
          <w:ilvl w:val="0"/>
          <w:numId w:val="7"/>
        </w:numPr>
        <w:spacing w:before="280" w:after="0"/>
        <w:ind w:left="0" w:firstLine="567"/>
        <w:jc w:val="both"/>
        <w:rPr>
          <w:i/>
          <w:i/>
          <w:iCs/>
        </w:rPr>
      </w:pPr>
      <w:r>
        <w:rPr>
          <w:i/>
          <w:iCs/>
        </w:rPr>
        <w:t>Измеряется напряжение на преобразователе ток-напряжение.</w:t>
      </w:r>
    </w:p>
    <w:p>
      <w:pPr>
        <w:pStyle w:val="NormalWeb"/>
        <w:numPr>
          <w:ilvl w:val="0"/>
          <w:numId w:val="7"/>
        </w:numPr>
        <w:spacing w:before="0" w:after="0"/>
        <w:ind w:left="0" w:firstLine="567"/>
        <w:jc w:val="both"/>
        <w:rPr>
          <w:i/>
          <w:i/>
          <w:iCs/>
        </w:rPr>
      </w:pPr>
      <w:r>
        <w:rPr>
          <w:i/>
          <w:iCs/>
        </w:rPr>
        <w:t>Исходя из известной величины резистора обратной связи вычисляется ток сенсора.</w:t>
      </w:r>
    </w:p>
    <w:p>
      <w:pPr>
        <w:pStyle w:val="NormalWeb"/>
        <w:numPr>
          <w:ilvl w:val="0"/>
          <w:numId w:val="7"/>
        </w:numPr>
        <w:spacing w:before="0" w:after="0"/>
        <w:ind w:left="0" w:firstLine="567"/>
        <w:jc w:val="both"/>
        <w:rPr>
          <w:i/>
          <w:i/>
          <w:iCs/>
        </w:rPr>
      </w:pPr>
      <w:r>
        <w:rPr>
          <w:i/>
          <w:iCs/>
        </w:rPr>
        <w:t xml:space="preserve">Измеряется температура сенсора и рассчитывается температурный коэффициент </w:t>
      </w:r>
      <w:r>
        <w:rPr>
          <w:i/>
          <w:iCs/>
          <w:lang w:val="en-US"/>
        </w:rPr>
        <w:t>Pcoe</w:t>
      </w:r>
      <w:r>
        <w:rPr>
          <w:i/>
          <w:iCs/>
        </w:rPr>
        <w:t xml:space="preserve">. </w:t>
      </w:r>
    </w:p>
    <w:p>
      <w:pPr>
        <w:pStyle w:val="NormalWeb"/>
        <w:numPr>
          <w:ilvl w:val="0"/>
          <w:numId w:val="7"/>
        </w:numPr>
        <w:spacing w:before="0" w:after="0"/>
        <w:ind w:left="0" w:firstLine="567"/>
        <w:jc w:val="both"/>
        <w:rPr>
          <w:i/>
          <w:i/>
          <w:iCs/>
        </w:rPr>
      </w:pPr>
      <w:r>
        <w:rPr>
          <w:i/>
          <w:iCs/>
        </w:rPr>
        <w:t>Ток сенсора делится на температурный коэффициент, тем самым измерение приводится к стандартной температуре 25</w:t>
      </w:r>
      <w:r>
        <w:rPr>
          <w:i/>
          <w:iCs/>
          <w:vertAlign w:val="superscript"/>
        </w:rPr>
        <w:t>о</w:t>
      </w:r>
      <w:r>
        <w:rPr>
          <w:i/>
          <w:iCs/>
        </w:rPr>
        <w:t>С.</w:t>
      </w:r>
    </w:p>
    <w:p>
      <w:pPr>
        <w:pStyle w:val="NormalWeb"/>
        <w:numPr>
          <w:ilvl w:val="0"/>
          <w:numId w:val="7"/>
        </w:numPr>
        <w:spacing w:before="0" w:after="0"/>
        <w:ind w:left="0" w:firstLine="567"/>
        <w:jc w:val="both"/>
        <w:rPr>
          <w:i/>
          <w:i/>
          <w:iCs/>
        </w:rPr>
      </w:pPr>
      <w:r>
        <w:rPr>
          <w:i/>
          <w:iCs/>
        </w:rPr>
        <w:t xml:space="preserve">Если в данный момент происходит калибровка, то исходя из известной концентрации смеси вычисляется параметр </w:t>
      </w:r>
      <w:r>
        <w:rPr>
          <w:i/>
          <w:iCs/>
          <w:lang w:val="en-US"/>
        </w:rPr>
        <w:t>Ip</w:t>
      </w:r>
      <w:r>
        <w:rPr>
          <w:i/>
          <w:iCs/>
        </w:rPr>
        <w:t xml:space="preserve"> – удельный ток, приходящийся на 1 ррм, из вышеописанного следует, что он должен быть в пределах 1.6 – 2.8 нА/ррм, среднее значение – 2.2 нА/ррм. Если данная калибровка является первой после установки нового сенсора, то значение базового удельного тока </w:t>
      </w:r>
      <w:r>
        <w:rPr>
          <w:i/>
          <w:iCs/>
          <w:lang w:val="en-US"/>
        </w:rPr>
        <w:t>Ibas</w:t>
      </w:r>
      <w:r>
        <w:rPr>
          <w:i/>
          <w:iCs/>
        </w:rPr>
        <w:t xml:space="preserve"> приравнивается значению </w:t>
      </w:r>
      <w:r>
        <w:rPr>
          <w:i/>
          <w:iCs/>
          <w:lang w:val="en-US"/>
        </w:rPr>
        <w:t>Ip</w:t>
      </w:r>
      <w:r>
        <w:rPr>
          <w:i/>
          <w:iCs/>
        </w:rPr>
        <w:t xml:space="preserve">, в дальнейшем параметр </w:t>
      </w:r>
      <w:r>
        <w:rPr>
          <w:i/>
          <w:iCs/>
          <w:lang w:val="en-US"/>
        </w:rPr>
        <w:t>Ibas</w:t>
      </w:r>
      <w:r>
        <w:rPr>
          <w:i/>
          <w:iCs/>
        </w:rPr>
        <w:t xml:space="preserve"> используется для расчета коэффициента деструкции сенсора. Если коэффициент менее 0.5, т.е. удельный ток за время эксплуатации упал более чем в 2 раза, то сенсор желательно сменить.</w:t>
      </w:r>
    </w:p>
    <w:p>
      <w:pPr>
        <w:pStyle w:val="NormalWeb"/>
        <w:numPr>
          <w:ilvl w:val="0"/>
          <w:numId w:val="7"/>
        </w:numPr>
        <w:spacing w:before="0" w:after="280"/>
        <w:ind w:left="0" w:firstLine="567"/>
        <w:jc w:val="both"/>
        <w:rPr>
          <w:i/>
          <w:i/>
          <w:iCs/>
        </w:rPr>
      </w:pPr>
      <w:r>
        <w:rPr>
          <w:i/>
          <w:iCs/>
        </w:rPr>
        <w:t xml:space="preserve">Если в данный момент происходит измерение, то исходя из известного удельного тока </w:t>
      </w:r>
      <w:r>
        <w:rPr>
          <w:i/>
          <w:iCs/>
          <w:lang w:val="en-US"/>
        </w:rPr>
        <w:t>Ip</w:t>
      </w:r>
      <w:r>
        <w:rPr>
          <w:i/>
          <w:iCs/>
        </w:rPr>
        <w:t xml:space="preserve"> вычисляется концентрация кислорода в анализируемом газе.  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1.5.3 Газовая схема</w:t>
      </w:r>
    </w:p>
    <w:p>
      <w:pPr>
        <w:pStyle w:val="NormalWeb"/>
        <w:spacing w:before="280" w:after="280"/>
        <w:rPr/>
      </w:pPr>
      <w:r>
        <w:rPr/>
        <w:drawing>
          <wp:inline distT="0" distB="0" distL="0" distR="0">
            <wp:extent cx="5830570" cy="664210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/>
        <w:t>Рисунок 5 – Газовая схема анализатора, исполнение 1 (один поток)</w:t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ind w:left="-1701" w:right="1274" w:firstLine="283"/>
        <w:rPr/>
      </w:pPr>
      <w:r>
        <w:rPr/>
        <w:drawing>
          <wp:inline distT="0" distB="0" distL="0" distR="0">
            <wp:extent cx="8473440" cy="6537325"/>
            <wp:effectExtent l="0" t="0" r="0" b="0"/>
            <wp:docPr id="8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056" t="-70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/>
        <w:t>Рисунок 6 – Газовая схема анализатора, исполнение 2 (два потока)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Газовая схема анализатора приведена на рис. 5 и 6. Анализатор имеет 2 исполнения: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>исполнение 1 на один поток;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исполнение 2 на два потока анализируемого газа.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В оболочку анализатора все газы поступают из системы пробоподготовки (СПП).</w:t>
      </w:r>
    </w:p>
    <w:p>
      <w:pPr>
        <w:pStyle w:val="NormalWeb"/>
        <w:spacing w:before="240" w:after="280"/>
        <w:ind w:firstLine="567"/>
        <w:contextualSpacing/>
        <w:jc w:val="both"/>
        <w:rPr/>
      </w:pPr>
      <w:r>
        <w:rPr/>
        <w:t>На входе 1 (исполнение 1), 1-3 (исполнение 2) в СПП газ проходит через фильтр грубой очистки (ФГО). Далее попадает на устройство для редуцирования (понижения) давления газа и поддержания выходного давления в заданных пределах вне зависимости от изменения входного давления и расхода газа – Редуктор давления РД. Через фильтр тонкой очистки ФТО газ проходит через клапан К1 (исполнение 1), К1-К3 (исполнение 2) и попадает в анализатор. После выхода из анализатора газ через клапан К2 (исполнение 1), К4 (исполнение 2) попадает в СПП и пройдя ротаметр (ИР) выходит на сброс.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Все газы (анализируемые и калибровочный) поступают в оболочку через огнепреградители П1 (исполнение 1), П1-П3 (исполнение 2). В исполнении 2 после П1 -П3 газы попадают электромагнитные клапаны ЭК1-ЭК3, установленные на манифолде. После манифолда газ поступает на капилляр 1 (исполнение 1 и исполнение 2) для ограничения расхода. После капилляра газ поступает в электрохимический датчик кислорода ЭХД, размещенный в термостатируемом корпусе (исполнение 2), далее на электронный индикатор расхода ЭИР. После расходомера газ уходит из оболочки через огнепреградитель П2 (исполнение 1), П4 (исполнение 2).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Выбор потока газа осуществляется включением одного из электромагнитных клапанов (исполнение 2). Регулировка расхода газа осуществляется с помощью регулятора давления, который должен быть установлен в СПП. Рекомендуется устанавливать расход в диапазоне 30-1000 мл/мин. Расход газа можно видеть на индикаторе расхода.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При отключенном питании все клапаны перекрыты для предохранения датчика кислорода от попадания воздуха. При падении расхода анализируемого газа ниже заданного уровня, клапан подачи анализируемого газа и кл.4 отключаются через заданное время (обычно 1 мин). Для следующего включения прибора требуется команда оператора.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>
          <w:b/>
        </w:rPr>
        <w:t xml:space="preserve">Примечание: </w:t>
      </w:r>
      <w:r>
        <w:rPr/>
        <w:t xml:space="preserve">при длительном экспонировании на воздухе датчик может потерять чувствительность к низким концентрациям кислорода, содержащимся в анализируемом газе. </w:t>
      </w:r>
    </w:p>
    <w:p>
      <w:pPr>
        <w:pStyle w:val="2"/>
        <w:rPr/>
      </w:pPr>
      <w:bookmarkStart w:id="86" w:name="_Toc101279241"/>
      <w:r>
        <w:rPr/>
        <w:t>1.6 Обеспечение взрывозащиты</w:t>
      </w:r>
      <w:bookmarkEnd w:id="86"/>
    </w:p>
    <w:p>
      <w:pPr>
        <w:pStyle w:val="Normal"/>
        <w:spacing w:before="0" w:after="160"/>
        <w:ind w:firstLine="567"/>
        <w:contextualSpacing/>
        <w:jc w:val="both"/>
        <w:rPr/>
      </w:pPr>
      <w:r>
        <w:rPr/>
      </w:r>
    </w:p>
    <w:p>
      <w:pPr>
        <w:pStyle w:val="Normal"/>
        <w:spacing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1.6.1 </w:t>
      </w:r>
      <w:bookmarkStart w:id="87" w:name="_Hlk100568906"/>
      <w:r>
        <w:rPr>
          <w:rFonts w:cs="Times New Roman" w:ascii="Times New Roman" w:hAnsi="Times New Roman"/>
          <w:sz w:val="24"/>
          <w:szCs w:val="24"/>
        </w:rPr>
        <w:t>Для обеспечения взрывозащиты вида «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>» анализатор исполнений 1 и 2 размещен во взрывозащищенном корпусе «ЩОРВ302021-О» производства OOO «ЗАВОД ГОРЭЛТЕХ». Ввод кабелей в корпус анализатора выполнен с помощью сертифицированных взрывозащищенных кабельных вводов КНВ1МНК производства OOO «ЗАВОД ГОРЭЛТЕХ». Также на корпусе расположена взрывозащищенная заглушка ВЗН M20x1,5 и взрывозащищенные выключатели бесконтактные пьезоэлектрические кнопочной серии</w:t>
      </w:r>
      <w:bookmarkEnd w:id="87"/>
      <w:r>
        <w:rPr>
          <w:rFonts w:cs="Times New Roman" w:ascii="Times New Roman" w:hAnsi="Times New Roman"/>
          <w:sz w:val="24"/>
          <w:szCs w:val="24"/>
        </w:rPr>
        <w:t xml:space="preserve"> ВБПК Ех з 16 F1 SN-W производства НПО «ЭЛЕКТРОАВТОМАТИКА». Предназначены для безопасной эксплуатации электротехнических приборов и компонентов во взрывоопасных зонах. </w:t>
      </w:r>
    </w:p>
    <w:p>
      <w:pPr>
        <w:pStyle w:val="Normal"/>
        <w:spacing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 xml:space="preserve">1.6.2 Анализатор может эксплуатироваться во взрывоопасной зоне. 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  <w:t>Конструкция прибора соответствует ГОСТ 31610.0-</w:t>
      </w:r>
      <w:r>
        <w:rPr/>
        <w:t xml:space="preserve"> </w:t>
      </w:r>
      <w:r>
        <w:rPr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  <w:t>2019 (IEC 60079-0:2017),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  <w:t xml:space="preserve">ГОСТ </w:t>
      </w:r>
      <w:r>
        <w:rPr>
          <w:rFonts w:cs="Times New Roman" w:ascii="Times New Roman" w:hAnsi="Times New Roman"/>
          <w:color w:val="000000" w:themeColor="text1"/>
          <w:sz w:val="24"/>
          <w:szCs w:val="24"/>
          <w:shd w:fill="FFFFFF" w:val="clear"/>
          <w:lang w:val="en-US"/>
        </w:rPr>
        <w:t>IEC</w:t>
      </w:r>
      <w:r>
        <w:rPr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  <w:t xml:space="preserve"> 60079-1-2013.</w:t>
      </w:r>
    </w:p>
    <w:p>
      <w:pPr>
        <w:pStyle w:val="13"/>
        <w:spacing w:lineRule="auto" w:line="240" w:before="0" w:after="0"/>
        <w:ind w:right="141" w:firstLine="567"/>
        <w:contextualSpacing/>
        <w:jc w:val="both"/>
        <w:rPr>
          <w:rFonts w:cs="Times New Roman"/>
        </w:rPr>
      </w:pPr>
      <w:r>
        <w:rPr>
          <w:rFonts w:cs="Times New Roman"/>
        </w:rPr>
        <w:t>Маркировка взрывозащиты: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 xml:space="preserve">исполнение 1 – 1 </w:t>
      </w:r>
      <w:r>
        <w:rPr>
          <w:rFonts w:cs="Times New Roman" w:ascii="Times New Roman" w:hAnsi="Times New Roman"/>
          <w:sz w:val="24"/>
          <w:szCs w:val="24"/>
          <w:lang w:val="en-US"/>
        </w:rPr>
        <w:t>Ex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db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IIB</w:t>
      </w:r>
      <w:r>
        <w:rPr>
          <w:rFonts w:cs="Times New Roman" w:ascii="Times New Roman" w:hAnsi="Times New Roman"/>
          <w:sz w:val="24"/>
          <w:szCs w:val="24"/>
        </w:rPr>
        <w:t>+</w:t>
      </w:r>
      <w:r>
        <w:rPr>
          <w:rFonts w:cs="Times New Roman" w:ascii="Times New Roman" w:hAnsi="Times New Roman"/>
          <w:sz w:val="24"/>
          <w:szCs w:val="24"/>
          <w:lang w:val="en-US"/>
        </w:rPr>
        <w:t>H</w:t>
      </w:r>
      <w:r>
        <w:rPr>
          <w:rFonts w:cs="Times New Roman" w:ascii="Times New Roman" w:hAnsi="Times New Roman"/>
          <w:sz w:val="24"/>
          <w:szCs w:val="24"/>
        </w:rPr>
        <w:t xml:space="preserve">2 </w:t>
      </w:r>
      <w:r>
        <w:rPr>
          <w:rFonts w:cs="Times New Roman" w:ascii="Times New Roman" w:hAnsi="Times New Roman"/>
          <w:sz w:val="24"/>
          <w:szCs w:val="24"/>
          <w:lang w:val="en-US"/>
        </w:rPr>
        <w:t>T</w:t>
      </w:r>
      <w:r>
        <w:rPr>
          <w:rFonts w:cs="Times New Roman" w:ascii="Times New Roman" w:hAnsi="Times New Roman"/>
          <w:sz w:val="24"/>
          <w:szCs w:val="24"/>
        </w:rPr>
        <w:t xml:space="preserve">6 </w:t>
      </w:r>
      <w:r>
        <w:rPr>
          <w:rFonts w:cs="Times New Roman" w:ascii="Times New Roman" w:hAnsi="Times New Roman"/>
          <w:sz w:val="24"/>
          <w:szCs w:val="24"/>
          <w:lang w:val="en-US"/>
        </w:rPr>
        <w:t>Gb</w:t>
      </w:r>
      <w:r>
        <w:rPr>
          <w:rFonts w:cs="Times New Roman" w:ascii="Times New Roman" w:hAnsi="Times New Roman"/>
          <w:sz w:val="24"/>
          <w:szCs w:val="24"/>
        </w:rPr>
        <w:t xml:space="preserve"> Х,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–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исполнение 2 – </w:t>
      </w:r>
      <w:r>
        <w:rPr>
          <w:rFonts w:cs="Times New Roman" w:ascii="Times New Roman" w:hAnsi="Times New Roman"/>
          <w:sz w:val="24"/>
          <w:szCs w:val="24"/>
        </w:rPr>
        <w:t xml:space="preserve">1 </w:t>
      </w:r>
      <w:r>
        <w:rPr>
          <w:rFonts w:cs="Times New Roman" w:ascii="Times New Roman" w:hAnsi="Times New Roman"/>
          <w:sz w:val="24"/>
          <w:szCs w:val="24"/>
          <w:lang w:val="en-US"/>
        </w:rPr>
        <w:t>Ex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db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IIB</w:t>
      </w:r>
      <w:r>
        <w:rPr>
          <w:rFonts w:cs="Times New Roman" w:ascii="Times New Roman" w:hAnsi="Times New Roman"/>
          <w:sz w:val="24"/>
          <w:szCs w:val="24"/>
        </w:rPr>
        <w:t>+</w:t>
      </w:r>
      <w:r>
        <w:rPr>
          <w:rFonts w:cs="Times New Roman" w:ascii="Times New Roman" w:hAnsi="Times New Roman"/>
          <w:sz w:val="24"/>
          <w:szCs w:val="24"/>
          <w:lang w:val="en-US"/>
        </w:rPr>
        <w:t>H</w:t>
      </w:r>
      <w:r>
        <w:rPr>
          <w:rFonts w:cs="Times New Roman" w:ascii="Times New Roman" w:hAnsi="Times New Roman"/>
          <w:sz w:val="24"/>
          <w:szCs w:val="24"/>
        </w:rPr>
        <w:t xml:space="preserve">2 </w:t>
      </w:r>
      <w:r>
        <w:rPr>
          <w:rFonts w:cs="Times New Roman" w:ascii="Times New Roman" w:hAnsi="Times New Roman"/>
          <w:sz w:val="24"/>
          <w:szCs w:val="24"/>
          <w:lang w:val="en-US"/>
        </w:rPr>
        <w:t>T</w:t>
      </w:r>
      <w:r>
        <w:rPr>
          <w:rFonts w:cs="Times New Roman" w:ascii="Times New Roman" w:hAnsi="Times New Roman"/>
          <w:sz w:val="24"/>
          <w:szCs w:val="24"/>
        </w:rPr>
        <w:t xml:space="preserve">6 </w:t>
      </w:r>
      <w:r>
        <w:rPr>
          <w:rFonts w:cs="Times New Roman" w:ascii="Times New Roman" w:hAnsi="Times New Roman"/>
          <w:sz w:val="24"/>
          <w:szCs w:val="24"/>
          <w:lang w:val="en-US"/>
        </w:rPr>
        <w:t>Gb</w:t>
      </w:r>
      <w:r>
        <w:rPr>
          <w:rFonts w:cs="Times New Roman" w:ascii="Times New Roman" w:hAnsi="Times New Roman"/>
          <w:sz w:val="24"/>
          <w:szCs w:val="24"/>
        </w:rPr>
        <w:t xml:space="preserve"> Х.</w:t>
      </w:r>
    </w:p>
    <w:p>
      <w:pPr>
        <w:pStyle w:val="13"/>
        <w:spacing w:lineRule="auto" w:line="240" w:before="0" w:after="0"/>
        <w:ind w:right="141" w:firstLine="567"/>
        <w:contextualSpacing/>
        <w:jc w:val="both"/>
        <w:rPr>
          <w:rFonts w:cs="Times New Roman"/>
          <w:spacing w:val="-2"/>
        </w:rPr>
      </w:pPr>
      <w:r>
        <w:rPr>
          <w:rFonts w:cs="Times New Roman"/>
        </w:rPr>
        <w:t xml:space="preserve"> </w:t>
      </w:r>
      <w:r>
        <w:rPr>
          <w:rFonts w:cs="Times New Roman"/>
        </w:rPr>
        <w:t>Зона размещения 1 по ГОСТ</w:t>
      </w:r>
      <w:r>
        <w:rPr>
          <w:rFonts w:cs="Times New Roman"/>
          <w:spacing w:val="-2"/>
        </w:rPr>
        <w:t> IEC 60079-14-2013.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r>
        <w:rPr>
          <w:rFonts w:cs="Times New Roman" w:ascii="Times New Roman" w:hAnsi="Times New Roman"/>
          <w:sz w:val="24"/>
          <w:szCs w:val="24"/>
          <w:lang w:eastAsia="zh-CN" w:bidi="hi-IN"/>
        </w:rPr>
        <w:t>Анализатор может устанавливаться в зоне 1 по ГОСТ IEC 60079-14-2013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r>
        <w:rPr>
          <w:rFonts w:cs="Times New Roman" w:ascii="Times New Roman" w:hAnsi="Times New Roman"/>
          <w:sz w:val="24"/>
          <w:szCs w:val="24"/>
          <w:lang w:eastAsia="zh-CN" w:bidi="hi-IN"/>
        </w:rPr>
        <w:t>Подгруппа электрооборудования: IIВ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r>
        <w:rPr>
          <w:rFonts w:cs="Times New Roman" w:ascii="Times New Roman" w:hAnsi="Times New Roman"/>
          <w:sz w:val="24"/>
          <w:szCs w:val="24"/>
          <w:lang w:eastAsia="zh-CN" w:bidi="hi-IN"/>
        </w:rPr>
        <w:t>Температурный класс: Т6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Применяемый тип взрывозащиты: взрывонепроницаемая оболочка «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 xml:space="preserve">» по ГОСТ </w:t>
      </w:r>
      <w:r>
        <w:rPr>
          <w:rFonts w:cs="Times New Roman" w:ascii="Times New Roman" w:hAnsi="Times New Roman"/>
          <w:sz w:val="24"/>
          <w:szCs w:val="24"/>
          <w:lang w:val="en-US"/>
        </w:rPr>
        <w:t>IEC</w:t>
      </w:r>
      <w:r>
        <w:rPr>
          <w:rFonts w:cs="Times New Roman" w:ascii="Times New Roman" w:hAnsi="Times New Roman"/>
          <w:sz w:val="24"/>
          <w:szCs w:val="24"/>
        </w:rPr>
        <w:t xml:space="preserve"> 60079-1-2013.</w:t>
      </w:r>
      <w:r>
        <w:rPr>
          <w:rFonts w:cs="Times New Roman" w:ascii="Times New Roman" w:hAnsi="Times New Roman"/>
          <w:color w:val="2D2D2D"/>
          <w:spacing w:val="2"/>
          <w:sz w:val="24"/>
          <w:szCs w:val="24"/>
          <w:shd w:fill="FFFFFF" w:val="clear"/>
        </w:rPr>
        <w:tab/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SimSun" w:cs="Times New Roman"/>
          <w:sz w:val="24"/>
          <w:szCs w:val="24"/>
          <w:lang w:bidi="hi-IN"/>
        </w:rPr>
      </w:pPr>
      <w:r>
        <w:rPr>
          <w:rFonts w:cs="Times New Roman" w:ascii="Times New Roman" w:hAnsi="Times New Roman"/>
          <w:sz w:val="24"/>
          <w:szCs w:val="24"/>
        </w:rPr>
        <w:t>Знак «Х», следующий после маркировки взрывозащиты «ХРОМОС О</w:t>
      </w:r>
      <w:r>
        <w:rPr>
          <w:rFonts w:cs="Times New Roman" w:ascii="Times New Roman" w:hAnsi="Times New Roman"/>
          <w:sz w:val="24"/>
          <w:szCs w:val="24"/>
          <w:vertAlign w:val="subscript"/>
        </w:rPr>
        <w:t>2</w:t>
      </w:r>
      <w:r>
        <w:rPr>
          <w:rFonts w:cs="Times New Roman" w:ascii="Times New Roman" w:hAnsi="Times New Roman"/>
          <w:sz w:val="24"/>
          <w:szCs w:val="24"/>
        </w:rPr>
        <w:t>», означает, что открывать крышку прибора разрешается после отключения напряжения и прекращения подачи газа.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r>
        <w:rPr>
          <w:rFonts w:cs="Times New Roman" w:ascii="Times New Roman" w:hAnsi="Times New Roman"/>
          <w:sz w:val="24"/>
          <w:szCs w:val="24"/>
          <w:lang w:eastAsia="zh-CN" w:bidi="hi-IN"/>
        </w:rPr>
        <w:t>Степень защиты от воздействия окружающей среды анализатора – IP67 по ГОСТ 14254-2015 (</w:t>
      </w:r>
      <w:r>
        <w:rPr>
          <w:rFonts w:cs="Times New Roman" w:ascii="Times New Roman" w:hAnsi="Times New Roman"/>
          <w:sz w:val="24"/>
          <w:szCs w:val="24"/>
          <w:lang w:val="en-US" w:eastAsia="zh-CN" w:bidi="hi-IN"/>
        </w:rPr>
        <w:t>IEC</w:t>
      </w:r>
      <w:r>
        <w:rPr>
          <w:rFonts w:cs="Times New Roman" w:ascii="Times New Roman" w:hAnsi="Times New Roman"/>
          <w:sz w:val="24"/>
          <w:szCs w:val="24"/>
          <w:lang w:eastAsia="zh-CN" w:bidi="hi-IN"/>
        </w:rPr>
        <w:t xml:space="preserve"> 60529:2013).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Зона, в которой существует вероятность присутствия взрывоопасная газовой смеси в нормальных условиях эксплуатации: Gb.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cs="Times New Roman" w:ascii="Times New Roman" w:hAnsi="Times New Roman"/>
          <w:sz w:val="28"/>
          <w:szCs w:val="28"/>
          <w:lang w:eastAsia="zh-CN" w:bidi="hi-IN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1.6.3 Ввод газовых линий в коробку осуществляется через огнепреградители, сертифицированные в составе анализатора. Огнепреградитель представляет собой переходник, изготовленный из нержавеющей стали марки 12Х18Н10Т, внутри которого находится капиллярная трубка с внутренним диаметром –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0,2 </w:t>
      </w:r>
      <w:r>
        <w:rPr>
          <w:rFonts w:cs="Times New Roman" w:ascii="Times New Roman" w:hAnsi="Times New Roman"/>
          <w:sz w:val="24"/>
          <w:szCs w:val="24"/>
        </w:rPr>
        <w:t>мм, длиной – 37 мм, обжатая компрессионным уплотнением переходника. Конструкция огнепреградителя представлена на рисунке 7.</w:t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5939790" cy="3087370"/>
            <wp:effectExtent l="0" t="0" r="0" b="0"/>
            <wp:docPr id="9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/>
        <w:t>1 - капилляр; 2 - штуцер; 3 - корпус огнепреградителя; 4 - втулка; 5 - соединитель Valco</w:t>
      </w:r>
    </w:p>
    <w:p>
      <w:pPr>
        <w:pStyle w:val="NormalWeb"/>
        <w:spacing w:before="280" w:after="280"/>
        <w:jc w:val="center"/>
        <w:rPr/>
      </w:pPr>
      <w:r>
        <w:rPr>
          <w:color w:val="000000" w:themeColor="text1"/>
        </w:rPr>
        <w:t xml:space="preserve">Рисунок 7 </w:t>
      </w:r>
      <w:r>
        <w:rPr/>
        <w:t>– Конструкция огнепреградителя</w:t>
      </w:r>
    </w:p>
    <w:p>
      <w:pPr>
        <w:pStyle w:val="NormalWeb"/>
        <w:spacing w:before="280" w:after="280"/>
        <w:ind w:firstLine="567"/>
        <w:jc w:val="both"/>
        <w:rPr>
          <w:color w:val="000000"/>
          <w:shd w:fill="FFFFFF" w:val="clear"/>
        </w:rPr>
      </w:pPr>
      <w:r>
        <w:rPr>
          <w:color w:val="000000"/>
          <w:shd w:fill="FFFFFF" w:val="clear"/>
        </w:rPr>
        <w:t xml:space="preserve">1.6.4 Выходящие элементы передачи данных из корпуса анализатора RS-485, 4-20 мА защищены </w:t>
      </w:r>
      <w:r>
        <w:rPr>
          <w:color w:val="000000"/>
        </w:rPr>
        <w:t xml:space="preserve">гибкими армированными кабельными элементами серии МГМ, MГМА (SP) с маркировкой защиты </w:t>
      </w:r>
      <w:r>
        <w:rPr>
          <w:color w:val="000000"/>
          <w:shd w:fill="FFFFFF" w:val="clear"/>
        </w:rPr>
        <w:t>Ex d IIC Gb U. Область применения - взрывоопасные зоны помещений и наружных установок согласно маркировке взрывозащиты, ГОСТ 30852.13-2002 (МЭК 60079-14:1996), опасные производственные объекты I, II, III, IV классов опасности, поднадзорные Ростехнадзору РФ и национальным техническим надзорам стран ТС и СН.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1.6.5 Элементы конструкции анализатора изготавливаются из материалов: сталь 3сп, 08пс, 20, 12Х18Н10Т, сплав Амг3М, не содержат сплавов с фрикционной искроопасностью и пластмасс, инициирующих электростатические разряды.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1.6.6 На корпусе анализатора закреплен шильдик с информацией о виде и параметрах взрывозащиты, контактная информация предприятия-изготовителя.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 корпусе прибора закреплен шильдик с предупреждающей надписью: </w:t>
      </w:r>
    </w:p>
    <w:p>
      <w:pPr>
        <w:pStyle w:val="NormalWeb"/>
        <w:spacing w:before="280" w:after="280"/>
        <w:jc w:val="center"/>
        <w:rPr/>
      </w:pPr>
      <w:r>
        <w:rPr/>
        <w:t>«ОТКРЫВАТЬ ЧЕРЕЗ 60 МИН. ПОСЛЕ ОТКЛЮЧЕНИЯ НАПРЯЖЕНИЯ».</w:t>
      </w:r>
    </w:p>
    <w:p>
      <w:pPr>
        <w:pStyle w:val="2"/>
        <w:rPr/>
      </w:pPr>
      <w:bookmarkStart w:id="88" w:name="_Toc101279242"/>
      <w:r>
        <w:rPr/>
        <w:t>1.7 Маркировка</w:t>
      </w:r>
      <w:bookmarkEnd w:id="88"/>
    </w:p>
    <w:p>
      <w:pPr>
        <w:pStyle w:val="Normal"/>
        <w:spacing w:before="0" w:after="160"/>
        <w:contextualSpacing/>
        <w:rPr/>
      </w:pPr>
      <w:r>
        <w:rPr/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1.7.1 Маркировка анализатора должна содержать:</w:t>
      </w:r>
    </w:p>
    <w:p>
      <w:pPr>
        <w:pStyle w:val="NormalWeb"/>
        <w:numPr>
          <w:ilvl w:val="0"/>
          <w:numId w:val="3"/>
        </w:numPr>
        <w:spacing w:before="280" w:after="0"/>
        <w:ind w:firstLine="273"/>
        <w:rPr/>
      </w:pPr>
      <w:r>
        <w:rPr/>
        <w:t>товарный знак предприятия-изготовителя;</w:t>
      </w:r>
    </w:p>
    <w:p>
      <w:pPr>
        <w:pStyle w:val="NormalWeb"/>
        <w:numPr>
          <w:ilvl w:val="0"/>
          <w:numId w:val="3"/>
        </w:numPr>
        <w:spacing w:before="0" w:after="0"/>
        <w:ind w:firstLine="273"/>
        <w:rPr/>
      </w:pPr>
      <w:r>
        <w:rPr/>
        <w:t>наименование предприятия-изготовителя;</w:t>
      </w:r>
    </w:p>
    <w:p>
      <w:pPr>
        <w:pStyle w:val="NormalWeb"/>
        <w:numPr>
          <w:ilvl w:val="0"/>
          <w:numId w:val="3"/>
        </w:numPr>
        <w:spacing w:before="0" w:after="0"/>
        <w:ind w:firstLine="273"/>
        <w:rPr/>
      </w:pPr>
      <w:r>
        <w:rPr/>
        <w:t xml:space="preserve">знак утверждения типа; </w:t>
      </w:r>
    </w:p>
    <w:p>
      <w:pPr>
        <w:pStyle w:val="NormalWeb"/>
        <w:numPr>
          <w:ilvl w:val="0"/>
          <w:numId w:val="3"/>
        </w:numPr>
        <w:spacing w:before="0" w:after="0"/>
        <w:ind w:firstLine="273"/>
        <w:rPr/>
      </w:pPr>
      <w:r>
        <w:rPr/>
        <w:t>наименование изделия;</w:t>
      </w:r>
    </w:p>
    <w:p>
      <w:pPr>
        <w:pStyle w:val="NormalWeb"/>
        <w:numPr>
          <w:ilvl w:val="0"/>
          <w:numId w:val="3"/>
        </w:numPr>
        <w:spacing w:before="0" w:after="0"/>
        <w:ind w:firstLine="273"/>
        <w:rPr/>
      </w:pPr>
      <w:r>
        <w:rPr/>
        <w:t>маркировка взрывозащиты;</w:t>
      </w:r>
    </w:p>
    <w:p>
      <w:pPr>
        <w:pStyle w:val="ListParagraph"/>
        <w:numPr>
          <w:ilvl w:val="0"/>
          <w:numId w:val="3"/>
        </w:numPr>
        <w:spacing w:lineRule="auto" w:line="252"/>
        <w:ind w:left="567" w:firstLine="426"/>
        <w:jc w:val="both"/>
        <w:rPr>
          <w:rFonts w:eastAsia="Times New Roman" w:cs="Times New Roman"/>
          <w:color w:val="auto"/>
          <w:lang w:eastAsia="ru-RU" w:bidi="ar-SA"/>
        </w:rPr>
      </w:pPr>
      <w:r>
        <w:rPr>
          <w:rFonts w:eastAsia="Times New Roman" w:cs="Times New Roman"/>
          <w:color w:val="auto"/>
          <w:lang w:eastAsia="ru-RU" w:bidi="ar-SA"/>
        </w:rPr>
        <w:t>наименование органа по сертификации и номер сертификата соответствия;</w:t>
      </w:r>
    </w:p>
    <w:p>
      <w:pPr>
        <w:pStyle w:val="NormalWeb"/>
        <w:numPr>
          <w:ilvl w:val="0"/>
          <w:numId w:val="3"/>
        </w:numPr>
        <w:spacing w:before="280" w:after="0"/>
        <w:ind w:firstLine="273"/>
        <w:rPr/>
      </w:pPr>
      <w:r>
        <w:rPr/>
        <w:t>специальный знак взрывобезопасности Ех;</w:t>
      </w:r>
    </w:p>
    <w:p>
      <w:pPr>
        <w:pStyle w:val="NormalWeb"/>
        <w:numPr>
          <w:ilvl w:val="0"/>
          <w:numId w:val="3"/>
        </w:numPr>
        <w:spacing w:before="0" w:after="0"/>
        <w:ind w:firstLine="273"/>
        <w:rPr/>
      </w:pPr>
      <w:r>
        <w:rPr/>
        <w:t>единый знак обращения продукции на рынке государств-членов Таможенного союза ЕАС;</w:t>
      </w:r>
    </w:p>
    <w:p>
      <w:pPr>
        <w:pStyle w:val="NormalWeb"/>
        <w:numPr>
          <w:ilvl w:val="0"/>
          <w:numId w:val="3"/>
        </w:numPr>
        <w:spacing w:before="0" w:after="0"/>
        <w:ind w:firstLine="273"/>
        <w:rPr/>
      </w:pPr>
      <w:r>
        <w:rPr/>
        <w:t>допустимый диапазон температуры окружающего воздуха;</w:t>
      </w:r>
    </w:p>
    <w:p>
      <w:pPr>
        <w:pStyle w:val="NormalWeb"/>
        <w:numPr>
          <w:ilvl w:val="0"/>
          <w:numId w:val="3"/>
        </w:numPr>
        <w:spacing w:before="0" w:after="0"/>
        <w:ind w:firstLine="273"/>
        <w:rPr/>
      </w:pPr>
      <w:r>
        <w:rPr/>
        <w:t>маркировка степени защиты (от воздействия твердых тел и воды)</w:t>
      </w:r>
      <w:r>
        <w:rPr>
          <w:color w:val="FF0000"/>
        </w:rPr>
        <w:t xml:space="preserve"> </w:t>
      </w:r>
      <w:r>
        <w:rPr/>
        <w:t>;</w:t>
      </w:r>
    </w:p>
    <w:p>
      <w:pPr>
        <w:pStyle w:val="NormalWeb"/>
        <w:numPr>
          <w:ilvl w:val="0"/>
          <w:numId w:val="3"/>
        </w:numPr>
        <w:spacing w:before="0" w:after="0"/>
        <w:ind w:firstLine="273"/>
        <w:rPr/>
      </w:pPr>
      <w:r>
        <w:rPr/>
        <w:t>заводской номер изделия, включающий год и месяц изготовления;</w:t>
      </w:r>
    </w:p>
    <w:p>
      <w:pPr>
        <w:pStyle w:val="NormalWeb"/>
        <w:numPr>
          <w:ilvl w:val="0"/>
          <w:numId w:val="3"/>
        </w:numPr>
        <w:spacing w:before="0" w:after="0"/>
        <w:ind w:firstLine="273"/>
        <w:rPr/>
      </w:pPr>
      <w:r>
        <w:rPr/>
        <w:t>страна-изготовитель;</w:t>
      </w:r>
    </w:p>
    <w:p>
      <w:pPr>
        <w:pStyle w:val="NormalWeb"/>
        <w:numPr>
          <w:ilvl w:val="0"/>
          <w:numId w:val="3"/>
        </w:numPr>
        <w:spacing w:before="0" w:after="280"/>
        <w:ind w:firstLine="273"/>
        <w:rPr/>
      </w:pPr>
      <w:r>
        <w:rPr/>
        <w:t>надпись ««ОТКРЫВАТЬ ЧЕРЕЗ 60 МИН. ПОСЛЕ ОТКЛЮЧЕНИЯ НАПРЯЖЕНИЯ».</w:t>
      </w:r>
    </w:p>
    <w:p>
      <w:pPr>
        <w:pStyle w:val="NormalWeb"/>
        <w:spacing w:before="280" w:after="280"/>
        <w:ind w:firstLine="567"/>
        <w:jc w:val="both"/>
        <w:rPr>
          <w:rFonts w:eastAsia="Lucida Sans Unicode" w:cs="Tahoma"/>
          <w:color w:val="000000" w:themeColor="text1"/>
          <w:lang w:bidi="en-US"/>
        </w:rPr>
      </w:pPr>
      <w:r>
        <w:rPr>
          <w:rFonts w:eastAsia="Lucida Sans Unicode" w:cs="Tahoma"/>
          <w:lang w:bidi="en-US"/>
        </w:rPr>
        <w:t xml:space="preserve">Образцы шильдика представлены на </w:t>
      </w:r>
      <w:r>
        <w:rPr>
          <w:rFonts w:eastAsia="Lucida Sans Unicode" w:cs="Tahoma"/>
          <w:color w:val="000000" w:themeColor="text1"/>
          <w:lang w:bidi="en-US"/>
        </w:rPr>
        <w:t>рисунках 8 и 9.</w:t>
      </w:r>
    </w:p>
    <w:p>
      <w:pPr>
        <w:pStyle w:val="211"/>
        <w:tabs>
          <w:tab w:val="clear" w:pos="708"/>
        </w:tabs>
        <w:spacing w:before="120" w:after="360"/>
        <w:ind w:left="720" w:right="142" w:hanging="36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>
        <w:rPr/>
        <w:drawing>
          <wp:inline distT="0" distB="0" distL="0" distR="0">
            <wp:extent cx="3950335" cy="3069590"/>
            <wp:effectExtent l="0" t="0" r="0" b="0"/>
            <wp:docPr id="10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1"/>
        <w:spacing w:before="120" w:after="360"/>
        <w:ind w:left="720" w:right="142" w:hanging="360"/>
        <w:jc w:val="center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 xml:space="preserve">Рисунок 8 </w:t>
      </w:r>
      <w:r>
        <w:rPr>
          <w:rFonts w:ascii="Times New Roman" w:hAnsi="Times New Roman"/>
          <w:color w:val="auto"/>
          <w:sz w:val="22"/>
          <w:szCs w:val="22"/>
        </w:rPr>
        <w:t>– Образец шильдика в исполнении 1</w:t>
      </w:r>
    </w:p>
    <w:p>
      <w:pPr>
        <w:pStyle w:val="211"/>
        <w:spacing w:before="120" w:after="360"/>
        <w:ind w:left="720" w:right="142" w:hanging="360"/>
        <w:jc w:val="center"/>
        <w:rPr>
          <w:rFonts w:ascii="Times New Roman" w:hAnsi="Times New Roman"/>
          <w:color w:val="auto"/>
          <w:sz w:val="22"/>
          <w:szCs w:val="22"/>
        </w:rPr>
      </w:pPr>
      <w:r>
        <w:rPr/>
        <w:drawing>
          <wp:inline distT="0" distB="0" distL="0" distR="0">
            <wp:extent cx="3903980" cy="2988945"/>
            <wp:effectExtent l="0" t="0" r="0" b="0"/>
            <wp:docPr id="11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1"/>
        <w:spacing w:before="120" w:after="360"/>
        <w:ind w:left="720" w:right="142" w:hanging="360"/>
        <w:jc w:val="center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 xml:space="preserve">Рисунок 9 </w:t>
      </w:r>
      <w:r>
        <w:rPr>
          <w:rFonts w:ascii="Times New Roman" w:hAnsi="Times New Roman"/>
          <w:color w:val="auto"/>
          <w:sz w:val="22"/>
          <w:szCs w:val="22"/>
        </w:rPr>
        <w:t>– Образец шильдика в исполнении 2</w:t>
      </w:r>
    </w:p>
    <w:p>
      <w:pPr>
        <w:pStyle w:val="211"/>
        <w:spacing w:before="120" w:after="360"/>
        <w:ind w:left="720" w:right="142" w:hanging="360"/>
        <w:jc w:val="center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</w:r>
    </w:p>
    <w:p>
      <w:pPr>
        <w:pStyle w:val="2"/>
        <w:rPr/>
      </w:pPr>
      <w:bookmarkStart w:id="89" w:name="_Toc101279243"/>
      <w:r>
        <w:rPr/>
        <w:t>1.8 Упаковка</w:t>
      </w:r>
      <w:bookmarkEnd w:id="89"/>
    </w:p>
    <w:p>
      <w:pPr>
        <w:pStyle w:val="Normal"/>
        <w:spacing w:before="0" w:after="160"/>
        <w:contextualSpacing/>
        <w:rPr/>
      </w:pPr>
      <w:r>
        <w:rPr/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Упаковка анализатора производится в индивидуальную транспортную тару.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Консервация анализатора выполняют по варианту временной противокоррозионной защиты В3-10 по ГОСТ 9.014-78. Переконсервация через каждые 3 года в течение срока хранения.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Эксплуатационная документация, диски с программой, комплект ЗИП должны быть упакованы в пластиковые пакеты.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Внутри упаковки под верхней крышкой тары должен находиться лист, на котором нанесено крупным шрифтом: «Перед распаковкой выдержать при температуре 20±5°С в течение 24 часов», если при транспортировании или хранении окружающая температура была ниже 5°С.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Маркировка транспортной тары выполнена по ГОСТ 14192 и ГОСТ Р 51474. Нанесены манипуляционные знаки: «Верх», «Беречь от влаги» и «Хрупкое. Осторожно».</w:t>
      </w:r>
      <w:r>
        <w:br w:type="page"/>
      </w:r>
    </w:p>
    <w:p>
      <w:pPr>
        <w:pStyle w:val="1"/>
        <w:spacing w:lineRule="auto" w:line="240" w:before="240" w:after="0"/>
        <w:ind w:firstLine="567"/>
        <w:contextualSpacing/>
        <w:jc w:val="both"/>
        <w:rPr/>
      </w:pPr>
      <w:bookmarkStart w:id="90" w:name="_Toc101279244"/>
      <w:r>
        <w:rPr/>
        <w:t>2 Использование по назначению</w:t>
      </w:r>
      <w:bookmarkEnd w:id="90"/>
    </w:p>
    <w:p>
      <w:pPr>
        <w:pStyle w:val="ListParagraph"/>
        <w:spacing w:lineRule="auto" w:line="240" w:before="0" w:after="160"/>
        <w:ind w:left="435" w:firstLine="567"/>
        <w:contextualSpacing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2"/>
        <w:rPr/>
      </w:pPr>
      <w:bookmarkStart w:id="91" w:name="_Toc101279245"/>
      <w:r>
        <w:rPr/>
        <w:t>2.1 Общие указания по эксплуатации</w:t>
      </w:r>
      <w:bookmarkEnd w:id="91"/>
    </w:p>
    <w:p>
      <w:pPr>
        <w:pStyle w:val="Normal"/>
        <w:spacing w:lineRule="auto" w:line="240" w:before="0" w:after="160"/>
        <w:ind w:firstLine="567"/>
        <w:contextualSpacing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процессе эксплуатации рекомендуется следить за работой анализатора. При появлении каких-либо изменений в работе необходимо проверить расход и давление анализируемого газа, герметичность подводящих газовых линий и просмотреть журнал событий анализатора.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2.1.1 Условия эксплуатации анализатора</w:t>
      </w:r>
    </w:p>
    <w:p>
      <w:pPr>
        <w:pStyle w:val="NormalWeb"/>
        <w:numPr>
          <w:ilvl w:val="0"/>
          <w:numId w:val="5"/>
        </w:numPr>
        <w:spacing w:before="280" w:after="0"/>
        <w:contextualSpacing/>
        <w:rPr>
          <w:rFonts w:eastAsia="Calibri"/>
        </w:rPr>
      </w:pPr>
      <w:r>
        <w:rPr>
          <w:rFonts w:eastAsia="Calibri"/>
        </w:rPr>
        <w:t xml:space="preserve">температура окружающего воздуха от плюс 5 °С до плюс 50 </w:t>
      </w:r>
      <w:bookmarkStart w:id="92" w:name="_Hlk97729964"/>
      <w:r>
        <w:rPr>
          <w:rFonts w:eastAsia="Calibri"/>
        </w:rPr>
        <w:t>°С</w:t>
      </w:r>
      <w:bookmarkEnd w:id="92"/>
      <w:r>
        <w:rPr>
          <w:rFonts w:eastAsia="Calibri"/>
        </w:rPr>
        <w:t>;</w:t>
      </w:r>
    </w:p>
    <w:p>
      <w:pPr>
        <w:pStyle w:val="NormalWeb"/>
        <w:numPr>
          <w:ilvl w:val="0"/>
          <w:numId w:val="5"/>
        </w:numPr>
        <w:spacing w:before="0" w:after="0"/>
        <w:contextualSpacing/>
        <w:jc w:val="both"/>
        <w:rPr>
          <w:rFonts w:eastAsia="Calibri"/>
        </w:rPr>
      </w:pPr>
      <w:r>
        <w:rPr>
          <w:rFonts w:eastAsia="Calibri"/>
        </w:rPr>
        <w:t>относительная влажность окружающего воздуха от 20 % до 98 %;</w:t>
      </w:r>
    </w:p>
    <w:p>
      <w:pPr>
        <w:pStyle w:val="NormalWeb"/>
        <w:numPr>
          <w:ilvl w:val="0"/>
          <w:numId w:val="5"/>
        </w:numPr>
        <w:spacing w:before="0" w:after="0"/>
        <w:contextualSpacing/>
        <w:jc w:val="both"/>
        <w:rPr>
          <w:rFonts w:eastAsia="Calibri"/>
        </w:rPr>
      </w:pPr>
      <w:r>
        <w:rPr>
          <w:rFonts w:eastAsia="Calibri"/>
        </w:rPr>
        <w:t>атмосферное давление от 84 до 106,4 кПа (от 630 до 800 мм рт.ст.);</w:t>
      </w:r>
    </w:p>
    <w:p>
      <w:pPr>
        <w:pStyle w:val="NormalWeb"/>
        <w:numPr>
          <w:ilvl w:val="0"/>
          <w:numId w:val="5"/>
        </w:numPr>
        <w:spacing w:before="0" w:after="280"/>
        <w:contextualSpacing/>
        <w:jc w:val="both"/>
        <w:rPr>
          <w:rFonts w:eastAsia="Calibri"/>
        </w:rPr>
      </w:pPr>
      <w:r>
        <w:rPr>
          <w:rFonts w:eastAsia="Calibri"/>
        </w:rPr>
        <w:t>напряжение тока, питающего анализатор</w:t>
      </w:r>
    </w:p>
    <w:p>
      <w:pPr>
        <w:pStyle w:val="NormalWeb"/>
        <w:spacing w:before="280" w:after="280"/>
        <w:contextualSpacing/>
        <w:jc w:val="both"/>
        <w:rPr>
          <w:rFonts w:eastAsia="Calibri"/>
        </w:rPr>
      </w:pPr>
      <w:r>
        <w:rPr>
          <w:rFonts w:eastAsia="Calibri"/>
        </w:rPr>
        <w:t xml:space="preserve">     </w:t>
      </w:r>
      <w:r>
        <w:rPr>
          <w:rFonts w:eastAsia="Calibri"/>
        </w:rPr>
        <w:tab/>
        <w:t xml:space="preserve"> исполнение 1, постоянный ток 24 В,</w:t>
      </w:r>
    </w:p>
    <w:p>
      <w:pPr>
        <w:pStyle w:val="NormalWeb"/>
        <w:spacing w:before="280" w:after="280"/>
        <w:contextualSpacing/>
        <w:jc w:val="both"/>
        <w:rPr>
          <w:rFonts w:eastAsia="Calibri"/>
        </w:rPr>
      </w:pPr>
      <w:r>
        <w:rPr>
          <w:rFonts w:eastAsia="Calibri"/>
        </w:rPr>
        <w:t xml:space="preserve">   </w:t>
      </w:r>
      <w:r>
        <w:rPr>
          <w:rFonts w:eastAsia="Calibri"/>
        </w:rPr>
        <w:tab/>
        <w:t xml:space="preserve"> исполнение 2, переменный ток </w:t>
      </w: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220</m:t>
            </m:r>
          </m:e>
          <m:sub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33</m:t>
            </m:r>
          </m:sub>
          <m:sup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22</m:t>
            </m:r>
          </m:sup>
        </m:sSubSup>
      </m:oMath>
      <w:r>
        <w:rPr>
          <w:rFonts w:eastAsia="Calibri"/>
          <w:iCs/>
          <w:color w:val="000000"/>
          <w:sz w:val="22"/>
          <w:szCs w:val="22"/>
        </w:rPr>
        <w:t xml:space="preserve"> В;</w:t>
      </w:r>
    </w:p>
    <w:p>
      <w:pPr>
        <w:pStyle w:val="NormalWeb"/>
        <w:numPr>
          <w:ilvl w:val="0"/>
          <w:numId w:val="6"/>
        </w:numPr>
        <w:spacing w:before="280" w:after="0"/>
        <w:contextualSpacing/>
        <w:jc w:val="both"/>
        <w:rPr>
          <w:rFonts w:eastAsia="Calibri"/>
        </w:rPr>
      </w:pPr>
      <w:r>
        <w:rPr>
          <w:rFonts w:eastAsia="Calibri"/>
        </w:rPr>
        <w:t>частота переменного тока, питающего анализатор (50±1) Гц;</w:t>
      </w:r>
    </w:p>
    <w:p>
      <w:pPr>
        <w:pStyle w:val="NormalWeb"/>
        <w:numPr>
          <w:ilvl w:val="0"/>
          <w:numId w:val="6"/>
        </w:numPr>
        <w:spacing w:before="0" w:after="280"/>
        <w:contextualSpacing/>
        <w:jc w:val="both"/>
        <w:rPr>
          <w:rFonts w:eastAsia="Calibri"/>
        </w:rPr>
      </w:pPr>
      <w:r>
        <w:rPr>
          <w:rFonts w:eastAsia="Calibri"/>
        </w:rPr>
        <w:t>внешние электрические и магнитные поля, влияющие на работу анализатора, должны отсутствовать.</w:t>
      </w:r>
    </w:p>
    <w:p>
      <w:pPr>
        <w:pStyle w:val="2"/>
        <w:rPr/>
      </w:pPr>
      <w:bookmarkStart w:id="93" w:name="_Toc101279246"/>
      <w:r>
        <w:rPr/>
        <w:t>2.2 Меры безопасности</w:t>
      </w:r>
      <w:bookmarkEnd w:id="93"/>
    </w:p>
    <w:p>
      <w:pPr>
        <w:pStyle w:val="NormalWeb"/>
        <w:spacing w:before="280" w:after="280"/>
        <w:ind w:firstLine="567"/>
        <w:contextualSpacing/>
        <w:jc w:val="both"/>
        <w:rPr>
          <w:bCs/>
        </w:rPr>
      </w:pPr>
      <w:r>
        <w:rPr>
          <w:bCs/>
        </w:rPr>
        <w:t xml:space="preserve">В анализаторе кислорода имеются трубопроводы, работающие под давлением сжатых газов. При работе анализатора необходимо соблюдать правила безопасности, предусмотренные при работе с аппаратами, находящимися под избыточным давлением. </w:t>
      </w:r>
    </w:p>
    <w:p>
      <w:pPr>
        <w:pStyle w:val="NormalWeb"/>
        <w:spacing w:before="280" w:after="280"/>
        <w:ind w:firstLine="567"/>
        <w:jc w:val="both"/>
        <w:rPr>
          <w:bCs/>
        </w:rPr>
      </w:pPr>
      <w:r>
        <w:rPr>
          <w:bCs/>
        </w:rPr>
        <w:t>В анализаторе имеются электрические цепи под напряжением 24 В и 220 В. При монтаже анализатора на взрывоопасном объекте необходимо строго выполнять указания "Инструкции по монтажу оборудования силовых и осветительных сетей взрывоопасных зон ВСН-332-74", "Правил устройства электроустановок" (ПУЭ), «Правил техники безопасности (ПТБ)» и «Правил технической эксплуатации электроустановок (ПТЭ)», в том числе гл. ЭШ-13 "Электрооборудование взрывоопасных производств".</w:t>
      </w:r>
    </w:p>
    <w:p>
      <w:pPr>
        <w:pStyle w:val="2"/>
        <w:rPr/>
      </w:pPr>
      <w:bookmarkStart w:id="94" w:name="_Toc101279247"/>
      <w:r>
        <w:rPr/>
        <w:t xml:space="preserve">2.3 </w:t>
      </w:r>
      <w:r>
        <w:rPr>
          <w:rFonts w:eastAsia="SimSun"/>
          <w:lang w:eastAsia="zh-CN" w:bidi="hi-IN"/>
        </w:rPr>
        <w:t>Распаковка и монтаж</w:t>
      </w:r>
      <w:bookmarkEnd w:id="94"/>
    </w:p>
    <w:p>
      <w:pPr>
        <w:pStyle w:val="NormalWeb"/>
        <w:spacing w:before="280" w:after="280"/>
        <w:ind w:firstLine="567"/>
        <w:contextualSpacing/>
        <w:jc w:val="both"/>
        <w:rPr>
          <w:rFonts w:eastAsia="SimSun" w:cs="Mangal"/>
          <w:color w:val="00000A"/>
          <w:lang w:eastAsia="zh-CN" w:bidi="hi-IN"/>
        </w:rPr>
      </w:pPr>
      <w:r>
        <w:rPr>
          <w:rFonts w:eastAsia="SimSun" w:cs="Mangal"/>
          <w:color w:val="00000A"/>
          <w:lang w:eastAsia="zh-CN" w:bidi="hi-IN"/>
        </w:rPr>
        <w:t>2.4.1 Перед распаковкой выдерживают анализатор при нормальной температуре в течение 24 часов, если при транспортировании или хранении окружающая температура была ниже 5</w:t>
      </w:r>
      <w:r>
        <w:rPr>
          <w:rFonts w:eastAsia="SimSun"/>
          <w:color w:val="00000A"/>
          <w:lang w:eastAsia="zh-CN" w:bidi="hi-IN"/>
        </w:rPr>
        <w:t>°</w:t>
      </w:r>
      <w:r>
        <w:rPr>
          <w:rFonts w:eastAsia="SimSun" w:cs="Mangal"/>
          <w:color w:val="00000A"/>
          <w:lang w:eastAsia="zh-CN" w:bidi="hi-IN"/>
        </w:rPr>
        <w:t>С.</w:t>
      </w:r>
    </w:p>
    <w:p>
      <w:pPr>
        <w:pStyle w:val="NormalWeb"/>
        <w:spacing w:before="280" w:after="280"/>
        <w:ind w:firstLine="567"/>
        <w:contextualSpacing/>
        <w:jc w:val="both"/>
        <w:rPr>
          <w:rFonts w:eastAsia="SimSun" w:cs="Mangal"/>
          <w:color w:val="00000A"/>
          <w:lang w:eastAsia="zh-CN" w:bidi="hi-IN"/>
        </w:rPr>
      </w:pPr>
      <w:r>
        <w:rPr>
          <w:rFonts w:eastAsia="SimSun" w:cs="Mangal"/>
          <w:color w:val="00000A"/>
          <w:lang w:eastAsia="zh-CN" w:bidi="hi-IN"/>
        </w:rPr>
      </w:r>
    </w:p>
    <w:p>
      <w:pPr>
        <w:pStyle w:val="NormalWeb"/>
        <w:spacing w:before="280" w:after="280"/>
        <w:ind w:firstLine="567"/>
        <w:contextualSpacing/>
        <w:jc w:val="both"/>
        <w:rPr>
          <w:rFonts w:ascii="TimesNewRomanPSMT" w:hAnsi="TimesNewRomanPSMT" w:cs="TimesNewRomanPSMT"/>
        </w:rPr>
      </w:pPr>
      <w:r>
        <w:rPr>
          <w:rFonts w:cs="TimesNewRomanPSMT" w:ascii="TimesNewRomanPSMT" w:hAnsi="TimesNewRomanPSMT"/>
        </w:rPr>
        <w:t>2.4.2 При монтаже прибора подключают:</w:t>
      </w:r>
    </w:p>
    <w:p>
      <w:pPr>
        <w:pStyle w:val="NormalWeb"/>
        <w:spacing w:before="280" w:after="280"/>
        <w:ind w:firstLine="567"/>
        <w:contextualSpacing/>
        <w:jc w:val="both"/>
        <w:rPr>
          <w:rFonts w:ascii="TimesNewRomanPSMT" w:hAnsi="TimesNewRomanPSMT" w:cs="TimesNewRomanPSMT"/>
        </w:rPr>
      </w:pPr>
      <w:r>
        <w:rPr>
          <w:rFonts w:cs="TimesNewRomanPSMT" w:ascii="TimesNewRomanPSMT" w:hAnsi="TimesNewRomanPSMT"/>
        </w:rPr>
        <w:t>- линии анализируемых газов и ПГС</w:t>
      </w:r>
    </w:p>
    <w:p>
      <w:pPr>
        <w:pStyle w:val="NormalWeb"/>
        <w:spacing w:before="280" w:after="280"/>
        <w:ind w:firstLine="567"/>
        <w:contextualSpacing/>
        <w:jc w:val="both"/>
        <w:rPr>
          <w:rFonts w:ascii="TimesNewRomanPSMT" w:hAnsi="TimesNewRomanPSMT" w:cs="TimesNewRomanPSMT"/>
        </w:rPr>
      </w:pPr>
      <w:r>
        <w:rPr>
          <w:rFonts w:cs="TimesNewRomanPSMT" w:ascii="TimesNewRomanPSMT" w:hAnsi="TimesNewRomanPSMT"/>
        </w:rPr>
        <w:t xml:space="preserve">- линию сброса продуктов анализа на свечу. </w:t>
      </w:r>
    </w:p>
    <w:p>
      <w:pPr>
        <w:pStyle w:val="NormalWeb"/>
        <w:spacing w:before="280" w:after="280"/>
        <w:ind w:firstLine="567"/>
        <w:contextualSpacing/>
        <w:jc w:val="both"/>
        <w:rPr>
          <w:rFonts w:ascii="TimesNewRomanPSMT" w:hAnsi="TimesNewRomanPSMT" w:cs="TimesNewRomanPSMT"/>
        </w:rPr>
      </w:pPr>
      <w:r>
        <w:rPr>
          <w:rFonts w:cs="TimesNewRomanPSMT" w:ascii="TimesNewRomanPSMT" w:hAnsi="TimesNewRomanPSMT"/>
        </w:rPr>
        <w:t>- линии связи с внешними устройствами (см. Приложение А)</w:t>
      </w:r>
    </w:p>
    <w:p>
      <w:pPr>
        <w:pStyle w:val="NormalWeb"/>
        <w:spacing w:before="280" w:after="280"/>
        <w:ind w:firstLine="567"/>
        <w:contextualSpacing/>
        <w:jc w:val="both"/>
        <w:rPr>
          <w:rFonts w:ascii="TimesNewRomanPSMT" w:hAnsi="TimesNewRomanPSMT" w:cs="TimesNewRomanPSMT"/>
        </w:rPr>
      </w:pPr>
      <w:r>
        <w:rPr>
          <w:rFonts w:cs="TimesNewRomanPSMT" w:ascii="TimesNewRomanPSMT" w:hAnsi="TimesNewRomanPSMT"/>
        </w:rPr>
        <w:t xml:space="preserve">- электрическое питание 24 В (исполнение 1), 220 В (исполнение 2) </w:t>
      </w:r>
    </w:p>
    <w:p>
      <w:pPr>
        <w:pStyle w:val="NormalWeb"/>
        <w:spacing w:before="280" w:after="280"/>
        <w:ind w:firstLine="567"/>
        <w:contextualSpacing/>
        <w:jc w:val="both"/>
        <w:rPr>
          <w:rFonts w:ascii="TimesNewRomanPSMT" w:hAnsi="TimesNewRomanPSMT" w:cs="TimesNewRomanPSMT"/>
        </w:rPr>
      </w:pPr>
      <w:r>
        <w:rPr>
          <w:rFonts w:cs="TimesNewRomanPSMT" w:ascii="TimesNewRomanPSMT" w:hAnsi="TimesNewRomanPSMT"/>
        </w:rPr>
        <w:t>(см. Приложение А).</w:t>
      </w:r>
    </w:p>
    <w:p>
      <w:pPr>
        <w:pStyle w:val="NormalWeb"/>
        <w:spacing w:before="280" w:after="280"/>
        <w:ind w:firstLine="567"/>
        <w:contextualSpacing/>
        <w:jc w:val="both"/>
        <w:rPr>
          <w:rFonts w:ascii="TimesNewRomanPSMT" w:hAnsi="TimesNewRomanPSMT" w:cs="TimesNewRomanPSMT"/>
        </w:rPr>
      </w:pPr>
      <w:r>
        <w:rPr>
          <w:rFonts w:cs="TimesNewRomanPSMT" w:ascii="TimesNewRomanPSMT" w:hAnsi="TimesNewRomanPSMT"/>
        </w:rPr>
      </w:r>
    </w:p>
    <w:p>
      <w:pPr>
        <w:pStyle w:val="NormalWeb"/>
        <w:numPr>
          <w:ilvl w:val="0"/>
          <w:numId w:val="0"/>
        </w:numPr>
        <w:spacing w:before="280" w:after="280"/>
        <w:ind w:left="0" w:firstLine="567"/>
        <w:contextualSpacing/>
        <w:jc w:val="both"/>
        <w:outlineLvl w:val="1"/>
        <w:rPr>
          <w:b/>
          <w:bCs/>
          <w:color w:val="000000"/>
        </w:rPr>
      </w:pPr>
      <w:bookmarkStart w:id="95" w:name="_Toc101279248"/>
      <w:r>
        <w:rPr>
          <w:b/>
          <w:bCs/>
          <w:color w:val="000000"/>
        </w:rPr>
        <w:t>2.4 Установка, подготовка к работе, запуск</w:t>
      </w:r>
      <w:bookmarkEnd w:id="95"/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2.4.1 Установка.</w:t>
      </w:r>
      <w:r>
        <w:rPr>
          <w:rFonts w:cs="Times New Roman" w:ascii="Times New Roman" w:hAnsi="Times New Roman"/>
          <w:sz w:val="24"/>
          <w:szCs w:val="24"/>
        </w:rPr>
        <w:t xml:space="preserve"> Анализатор необходимо устанавливать, как можно ближе от точки отбора пробы, так</w:t>
      </w:r>
      <w:r>
        <w:rPr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как это уменьшает время транспортного запаздывания.  Анализатор следует располагать в отапливаемом помещении. Окружающая температура в месте его установки должна быть в диапазоне от +5°С до +50°С, относительная влажность от 20 до 98%.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2.4.2 Проверка средств взрывозащиты.</w:t>
      </w:r>
      <w:r>
        <w:rPr>
          <w:rFonts w:cs="Times New Roman" w:ascii="Times New Roman" w:hAnsi="Times New Roman"/>
          <w:sz w:val="24"/>
          <w:szCs w:val="24"/>
        </w:rPr>
        <w:t xml:space="preserve"> Проверка осуществляется путем внешнего осмотра. На поверхностях деталей, обеспечивающих взрывозащиту, не допускаются царапины, вмятины, нарушения покрытий, повреждения ниток резьбы. Детали с дефектами должны браковаться и заменяться новыми, поставляемыми изготовителем. Проверяют наличие табличек и четкость надписей, содержание и качество маркировки взрывозащиты и ее соответствие действующему сертификату.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2.4.3 Подготовка к работе и включение анализатора.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2.4.3.1 Подключение газовых линий анализируемого газа и сброса.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Подключение газовых линий к соответствующим выводам анализатора производят трубками из нержавеющей стали с помощью переходников с компрессионным фитингом, входящих в комплект поставки. Количество и назначение газовых вводов отличается в исполнении 1 и исполнении 2 (рис.1,2).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Линия сброса от анализатора должна быть подключена к линиям сброса предприятия, в которых отсутствуют резкие изменения давления (более 1 кПа). Для линии сброса рекомендуется использовать трубку с внутренним диаметром 4 мм.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Примечание:</w:t>
      </w:r>
      <w:r>
        <w:rPr>
          <w:rFonts w:cs="Times New Roman" w:ascii="Times New Roman" w:hAnsi="Times New Roman"/>
          <w:sz w:val="24"/>
          <w:szCs w:val="24"/>
        </w:rPr>
        <w:t xml:space="preserve"> после установки регулятора давления (РД) на баллон с ПГС необходимо удалить попавший воздух из РД и его манометров. Для этого нужно убедиться, что Клапан 1 закрыт. На 1-2с приоткрыть вентиль на баллоне с ПГС, установить выходное давление 0,4-0,5 МПа. Стравить газ из РД через линию ПГ, открутив на 1 оборот гайку на штуцере входа ПГС. Повторить операцию не менее 10 раз для удаления следов кислорода из выходного манометра. Установить на РД выходное давление около 0,1 МПа и подключить линию ПГС к анализатору.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2.4.3.2 Подключение электрических цепей к анализатору.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Подключение электрических линий осуществляется в соответствии со схемой подключений (приложение А).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Электрическое питание к анализатору подводят бронированным кабелем с медными жилами сечением не менее 1,5 мм</w:t>
      </w:r>
      <w:r>
        <w:rPr>
          <w:rFonts w:cs="Times New Roman" w:ascii="Times New Roman" w:hAnsi="Times New Roman"/>
          <w:sz w:val="24"/>
          <w:szCs w:val="24"/>
          <w:vertAlign w:val="superscript"/>
        </w:rPr>
        <w:t>2</w:t>
      </w:r>
      <w:r>
        <w:rPr>
          <w:rFonts w:cs="Times New Roman" w:ascii="Times New Roman" w:hAnsi="Times New Roman"/>
          <w:sz w:val="24"/>
          <w:szCs w:val="24"/>
        </w:rPr>
        <w:t>. Количество жил в кабеле – три. Кабель для передачи данных подводится бронированным кабелем типа «витая пара» с экранированием каждой пары и сечением жилы 0,5-0,75 мм</w:t>
      </w:r>
      <w:r>
        <w:rPr>
          <w:rFonts w:cs="Times New Roman" w:ascii="Times New Roman" w:hAnsi="Times New Roman"/>
          <w:sz w:val="24"/>
          <w:szCs w:val="24"/>
          <w:vertAlign w:val="superscript"/>
        </w:rPr>
        <w:t>2</w:t>
      </w:r>
      <w:r>
        <w:rPr>
          <w:rFonts w:cs="Times New Roman" w:ascii="Times New Roman" w:hAnsi="Times New Roman"/>
          <w:sz w:val="24"/>
          <w:szCs w:val="24"/>
        </w:rPr>
        <w:t>. Количество витых пар в кабеле – три. Для подключения периферийных устройств по искробезопасной цепи проводят небронированными экранированными кабелями сечением жилы не менее 0,5 мм</w:t>
      </w:r>
      <w:r>
        <w:rPr>
          <w:rFonts w:cs="Times New Roman" w:ascii="Times New Roman" w:hAnsi="Times New Roman"/>
          <w:sz w:val="24"/>
          <w:szCs w:val="24"/>
          <w:vertAlign w:val="superscript"/>
        </w:rPr>
        <w:t>2</w:t>
      </w:r>
      <w:r>
        <w:rPr>
          <w:rFonts w:cs="Times New Roman" w:ascii="Times New Roman" w:hAnsi="Times New Roman"/>
          <w:sz w:val="24"/>
          <w:szCs w:val="24"/>
        </w:rPr>
        <w:t>. Марки кабелей и требований к проводке и монтажу в соответствии с ПУЭ (изд. 6). Анализатор заземляют с помощью клемм заземления к отдельной специально предназначенной для этого шине наружного заземления.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Анализатор должен быть заземлен с помощью клемм заземления к отдельной специально предназначенной для этого шине наружного заземления. Ввод кабелей во взрывозащищенную оболочку осуществляется через кабельные вводы, расположенные на правой боковой стенке взрывонепроницаемой оболочки анализатора (рис.1,2).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Для подключения кабелей необходимо: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– </w:t>
      </w:r>
      <w:r>
        <w:rPr>
          <w:rFonts w:cs="Times New Roman" w:ascii="Times New Roman" w:hAnsi="Times New Roman"/>
          <w:sz w:val="24"/>
          <w:szCs w:val="24"/>
        </w:rPr>
        <w:t>подключить кабель питания к клемме (Приложение А);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– </w:t>
      </w:r>
      <w:r>
        <w:rPr>
          <w:rFonts w:cs="Times New Roman" w:ascii="Times New Roman" w:hAnsi="Times New Roman"/>
          <w:sz w:val="24"/>
          <w:szCs w:val="24"/>
        </w:rPr>
        <w:t xml:space="preserve">подключить анализатор к удаленной рабочей станции с помощью стандартного интерфейса RS 485, согласно схеме подключений (приложение А).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Количество и назначение кабельных вводов может меняться.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2"/>
        <w:rPr/>
      </w:pPr>
      <w:bookmarkStart w:id="96" w:name="_Toc101279249"/>
      <w:r>
        <w:rPr/>
        <w:t>2.5 Использование анализатора кислорода</w:t>
      </w:r>
      <w:bookmarkEnd w:id="96"/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2.5.1 Структура программного обеспечения Хромос Окси-Т</w:t>
      </w:r>
      <w:r>
        <w:rPr>
          <w:rFonts w:cs="Times New Roman" w:ascii="Times New Roman" w:hAnsi="Times New Roman"/>
          <w:sz w:val="24"/>
          <w:szCs w:val="24"/>
        </w:rPr>
        <w:br/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br/>
        <w:t xml:space="preserve">1. </w:t>
        <w:br/>
      </w:r>
      <w:r>
        <w:rPr/>
        <w:drawing>
          <wp:inline distT="0" distB="0" distL="0" distR="0">
            <wp:extent cx="4632325" cy="3134360"/>
            <wp:effectExtent l="0" t="0" r="0" b="0"/>
            <wp:docPr id="12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br/>
        <w:t>2.</w:t>
        <w:br/>
      </w:r>
      <w:r>
        <w:rPr/>
        <w:drawing>
          <wp:inline distT="0" distB="0" distL="0" distR="0">
            <wp:extent cx="5945505" cy="3065145"/>
            <wp:effectExtent l="0" t="0" r="0" b="0"/>
            <wp:docPr id="13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</w:t>
        <w:br/>
      </w:r>
      <w:r>
        <w:rPr/>
        <w:drawing>
          <wp:inline distT="0" distB="0" distL="0" distR="0">
            <wp:extent cx="6334760" cy="3709035"/>
            <wp:effectExtent l="0" t="0" r="0" b="0"/>
            <wp:docPr id="14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</w:t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6010275" cy="3006725"/>
            <wp:effectExtent l="0" t="0" r="0" b="0"/>
            <wp:docPr id="15" name="Рисунок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</w:t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521960" cy="4389755"/>
            <wp:effectExtent l="0" t="0" r="0" b="0"/>
            <wp:docPr id="16" name="Рисунок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16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b/>
          <w:bCs/>
          <w:i/>
          <w:i/>
          <w:iCs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2.5.2 Пользовательский интерфейс.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cs="Times New Roman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Анализатор кислорода имеет простой в использовании интерфейс на основе меню для ввода параметров. </w:t>
      </w:r>
    </w:p>
    <w:p>
      <w:pPr>
        <w:pStyle w:val="NormalWeb"/>
        <w:spacing w:before="280" w:after="280"/>
        <w:ind w:firstLine="567"/>
        <w:contextualSpacing/>
        <w:jc w:val="both"/>
        <w:rPr>
          <w:rFonts w:cs="TimesNewRomanPS-BoldMT"/>
          <w:bCs/>
        </w:rPr>
      </w:pPr>
      <w:r>
        <w:rPr>
          <w:rFonts w:cs="TimesNewRomanPS-BoldMT"/>
          <w:bCs/>
          <w:i/>
          <w:iCs/>
        </w:rPr>
        <w:t xml:space="preserve">2.5.2.1 </w:t>
      </w:r>
      <w:r>
        <w:rPr>
          <w:rFonts w:cs="TimesNewRomanPS-BoldMT"/>
          <w:bCs/>
        </w:rPr>
        <w:t xml:space="preserve">На лицевой панели под защитным стеклом установлен </w:t>
      </w:r>
      <w:r>
        <w:rPr>
          <w:rFonts w:cs="TimesNewRomanPS-BoldMT"/>
          <w:bCs/>
          <w:i/>
          <w:iCs/>
        </w:rPr>
        <w:t>жидкокристаллический (ЖКИ) дисплей</w:t>
      </w:r>
      <w:r>
        <w:rPr>
          <w:rFonts w:cs="TimesNewRomanPS-BoldMT"/>
          <w:bCs/>
        </w:rPr>
        <w:t xml:space="preserve"> для отображения данных и контроля ввода параметров. Отображаемая информация зависит от текущего отображаемого меню (рисунок 10).</w:t>
      </w:r>
    </w:p>
    <w:p>
      <w:pPr>
        <w:pStyle w:val="NormalWeb"/>
        <w:spacing w:before="280" w:after="280"/>
        <w:ind w:firstLine="567"/>
        <w:contextualSpacing/>
        <w:jc w:val="both"/>
        <w:rPr>
          <w:rFonts w:cs="TimesNewRomanPS-BoldMT"/>
          <w:bCs/>
        </w:rPr>
      </w:pPr>
      <w:r>
        <w:rPr>
          <w:rFonts w:cs="TimesNewRomanPS-BoldMT"/>
          <w:bCs/>
          <w:i/>
          <w:iCs/>
        </w:rPr>
        <w:t>2.5.2.2 Шесть взрывозащищенных кнопок</w:t>
      </w:r>
      <w:r>
        <w:rPr>
          <w:rFonts w:cs="TimesNewRomanPS-BoldMT"/>
          <w:bCs/>
        </w:rPr>
        <w:t xml:space="preserve"> позволяют пользоваться системой меню (рисунок 9). В зависимости от режима работы (измерение, просмотр, меню, калибровка), кнопки имеют следующие функции:</w:t>
      </w:r>
    </w:p>
    <w:p>
      <w:pPr>
        <w:pStyle w:val="NormalWeb"/>
        <w:spacing w:before="280" w:after="280"/>
        <w:ind w:left="1077" w:hanging="0"/>
        <w:contextualSpacing/>
        <w:jc w:val="both"/>
        <w:rPr>
          <w:rFonts w:cs="TimesNewRomanPS-BoldMT"/>
          <w:bCs/>
        </w:rPr>
      </w:pPr>
      <w:r>
        <w:rPr>
          <w:rFonts w:cs="TimesNewRomanPS-BoldMT"/>
          <w:bCs/>
        </w:rPr>
        <w:t xml:space="preserve">Кнопка </w:t>
      </w:r>
      <w:r>
        <w:rPr>
          <w:rFonts w:cs="TimesNewRomanPS-BoldMT"/>
          <w:b/>
          <w:bCs/>
          <w:sz w:val="28"/>
          <w:szCs w:val="28"/>
        </w:rPr>
        <w:t>ОК</w:t>
      </w:r>
      <w:r>
        <w:rPr>
          <w:rFonts w:cs="TimesNewRomanPS-BoldMT"/>
          <w:bCs/>
        </w:rPr>
        <w:t xml:space="preserve"> «ВВОД»: ввод данных после завершения функции</w:t>
      </w:r>
    </w:p>
    <w:p>
      <w:pPr>
        <w:pStyle w:val="NormalWeb"/>
        <w:spacing w:before="280" w:after="280"/>
        <w:ind w:left="1077" w:hanging="0"/>
        <w:contextualSpacing/>
        <w:jc w:val="both"/>
        <w:rPr>
          <w:rFonts w:cs="TimesNewRomanPS-BoldMT"/>
          <w:bCs/>
        </w:rPr>
      </w:pPr>
      <w:r>
        <w:rPr>
          <w:rFonts w:cs="TimesNewRomanPS-BoldMT"/>
          <w:bCs/>
        </w:rPr>
        <w:t xml:space="preserve">Кнопка </w:t>
      </w:r>
      <w:r>
        <w:rPr/>
        <w:drawing>
          <wp:inline distT="0" distB="0" distL="0" distR="0">
            <wp:extent cx="203200" cy="203200"/>
            <wp:effectExtent l="0" t="0" r="0" b="0"/>
            <wp:docPr id="17" name="Рисунок 69" descr="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9" descr="Назад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NewRomanPS-BoldMT"/>
          <w:bCs/>
        </w:rPr>
        <w:t xml:space="preserve"> «ВОЗВРАТ»</w:t>
      </w:r>
    </w:p>
    <w:p>
      <w:pPr>
        <w:pStyle w:val="NormalWeb"/>
        <w:spacing w:before="280" w:after="280"/>
        <w:ind w:left="1077" w:hanging="0"/>
        <w:contextualSpacing/>
        <w:jc w:val="both"/>
        <w:rPr>
          <w:rFonts w:cs="TimesNewRomanPS-BoldMT"/>
          <w:bCs/>
        </w:rPr>
      </w:pPr>
      <w:r>
        <w:rPr>
          <w:rFonts w:cs="TimesNewRomanPS-BoldMT"/>
          <w:bCs/>
        </w:rPr>
        <w:t xml:space="preserve">Кнопка </w:t>
      </w:r>
      <w:r>
        <w:rPr>
          <w:rFonts w:cs="Cambria" w:ascii="Arial Narrow" w:hAnsi="Arial Narrow"/>
          <w:bCs/>
        </w:rPr>
        <w:t xml:space="preserve">▲ </w:t>
      </w:r>
      <w:r>
        <w:rPr>
          <w:rFonts w:cs="TimesNewRomanPS-BoldMT"/>
          <w:bCs/>
        </w:rPr>
        <w:t>«ВВЕРХ»</w:t>
      </w:r>
    </w:p>
    <w:p>
      <w:pPr>
        <w:pStyle w:val="NormalWeb"/>
        <w:spacing w:before="280" w:after="280"/>
        <w:ind w:left="1077" w:hanging="0"/>
        <w:contextualSpacing/>
        <w:jc w:val="both"/>
        <w:rPr>
          <w:rFonts w:cs="TimesNewRomanPS-BoldMT"/>
          <w:bCs/>
        </w:rPr>
      </w:pPr>
      <w:r>
        <w:rPr>
          <w:rFonts w:cs="TimesNewRomanPS-BoldMT"/>
          <w:bCs/>
        </w:rPr>
        <w:t xml:space="preserve">Кнопка </w:t>
      </w:r>
      <w:r>
        <w:rPr>
          <w:rFonts w:cs="Cambria" w:ascii="Arial Narrow" w:hAnsi="Arial Narrow"/>
          <w:bCs/>
        </w:rPr>
        <w:t xml:space="preserve">▼ </w:t>
      </w:r>
      <w:r>
        <w:rPr>
          <w:rFonts w:cs="TimesNewRomanPS-BoldMT"/>
          <w:bCs/>
        </w:rPr>
        <w:t>«ВНИЗ»</w:t>
      </w:r>
    </w:p>
    <w:p>
      <w:pPr>
        <w:pStyle w:val="NormalWeb"/>
        <w:spacing w:before="280" w:after="280"/>
        <w:ind w:left="1077" w:hanging="0"/>
        <w:contextualSpacing/>
        <w:jc w:val="both"/>
        <w:rPr>
          <w:rFonts w:cs="TimesNewRomanPS-BoldMT"/>
          <w:bCs/>
        </w:rPr>
      </w:pPr>
      <w:r>
        <w:rPr>
          <w:rFonts w:cs="TimesNewRomanPS-BoldMT"/>
          <w:bCs/>
        </w:rPr>
        <w:t>Копка ◄</w:t>
      </w:r>
      <w:r>
        <w:rPr>
          <w:rFonts w:cs="Cambria" w:ascii="Arial Narrow" w:hAnsi="Arial Narrow"/>
          <w:bCs/>
        </w:rPr>
        <w:t xml:space="preserve"> «</w:t>
      </w:r>
      <w:r>
        <w:rPr>
          <w:rFonts w:cs="TimesNewRomanPS-BoldMT"/>
          <w:bCs/>
        </w:rPr>
        <w:t>ВЛЕВО»/-</w:t>
      </w:r>
    </w:p>
    <w:p>
      <w:pPr>
        <w:pStyle w:val="NormalWeb"/>
        <w:spacing w:before="280" w:after="280"/>
        <w:ind w:left="1077" w:hanging="0"/>
        <w:contextualSpacing/>
        <w:jc w:val="both"/>
        <w:rPr>
          <w:rFonts w:cs="TimesNewRomanPS-BoldMT"/>
          <w:bCs/>
        </w:rPr>
      </w:pPr>
      <w:r>
        <w:rPr>
          <w:rFonts w:cs="TimesNewRomanPS-BoldMT"/>
          <w:bCs/>
        </w:rPr>
        <w:t xml:space="preserve">Кнопка </w:t>
      </w:r>
      <w:r>
        <w:rPr>
          <w:rFonts w:cs="Cambria" w:ascii="Arial Narrow" w:hAnsi="Arial Narrow"/>
          <w:bCs/>
        </w:rPr>
        <w:t xml:space="preserve">► </w:t>
      </w:r>
      <w:r>
        <w:rPr>
          <w:rFonts w:cs="TimesNewRomanPS-BoldMT"/>
          <w:bCs/>
        </w:rPr>
        <w:t>«ВПРАВО»/+</w:t>
      </w:r>
    </w:p>
    <w:p>
      <w:pPr>
        <w:pStyle w:val="ListParagraph"/>
        <w:tabs>
          <w:tab w:val="clear" w:pos="708"/>
          <w:tab w:val="left" w:pos="0" w:leader="none"/>
          <w:tab w:val="left" w:pos="227" w:leader="none"/>
        </w:tabs>
        <w:suppressAutoHyphens w:val="false"/>
        <w:spacing w:lineRule="auto" w:line="240" w:before="0" w:after="0"/>
        <w:ind w:left="1287" w:hanging="0"/>
        <w:contextualSpacing/>
        <w:jc w:val="both"/>
        <w:rPr/>
      </w:pPr>
      <w:r>
        <w:rPr/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2872105" cy="2070100"/>
            <wp:effectExtent l="0" t="0" r="0" b="0"/>
            <wp:docPr id="18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ind w:firstLine="426"/>
        <w:jc w:val="center"/>
        <w:rPr>
          <w:rFonts w:cs="TimesNewRomanPS-BoldMT"/>
          <w:bCs/>
        </w:rPr>
      </w:pPr>
      <w:r>
        <w:rPr>
          <w:rFonts w:cs="TimesNewRomanPS-BoldMT"/>
          <w:bCs/>
        </w:rPr>
        <w:t xml:space="preserve">Рисунок 10 – Лицевая панель анализатора в исполнении 1 </w:t>
      </w:r>
    </w:p>
    <w:p>
      <w:pPr>
        <w:pStyle w:val="NormalWeb"/>
        <w:spacing w:before="280" w:after="280"/>
        <w:ind w:firstLine="426"/>
        <w:jc w:val="center"/>
        <w:rPr>
          <w:rFonts w:cs="TimesNewRomanPS-BoldMT"/>
          <w:bCs/>
        </w:rPr>
      </w:pPr>
      <w:r>
        <w:rPr/>
        <w:drawing>
          <wp:inline distT="0" distB="0" distL="0" distR="0">
            <wp:extent cx="3122930" cy="2613660"/>
            <wp:effectExtent l="0" t="0" r="0" b="0"/>
            <wp:docPr id="19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ind w:firstLine="426"/>
        <w:jc w:val="center"/>
        <w:rPr>
          <w:rFonts w:cs="TimesNewRomanPS-BoldMT"/>
          <w:bCs/>
        </w:rPr>
      </w:pPr>
      <w:r>
        <w:rPr>
          <w:rFonts w:cs="TimesNewRomanPS-BoldMT"/>
          <w:bCs/>
        </w:rPr>
        <w:t>Рисунок 11 – Задняя панель анализатора в исполнении 1</w:t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97" w:name="_Hlk96689003"/>
      <w:r>
        <w:rPr>
          <w:rFonts w:cs="Times New Roman" w:ascii="Times New Roman" w:hAnsi="Times New Roman"/>
          <w:sz w:val="24"/>
          <w:szCs w:val="24"/>
        </w:rPr>
        <w:t>2.5.2.3 При включении питания на дисплее отображается заставка, которая изображена на рисунке 12.  В течение 30 секунд происходит загрузка, о чем свидетельствует движущаяся зеленая индикаторная полоса.</w:t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3255010" cy="2199005"/>
            <wp:effectExtent l="0" t="0" r="0" b="0"/>
            <wp:docPr id="20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12 – Заставка дисплея при включении</w:t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Установка режимов работы, процедур обработки, информация об измерениях осуществляется предустановленным программным обеспечением «Окси-Т».</w:t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  <w:tab w:val="left" w:pos="227" w:leader="none"/>
          <w:tab w:val="left" w:pos="708" w:leader="none"/>
        </w:tabs>
        <w:suppressAutoHyphens w:val="true"/>
        <w:spacing w:lineRule="auto" w:line="240" w:before="0" w:after="0"/>
        <w:ind w:left="1134" w:hanging="4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eastAsia="SimSun" w:cs="Mangal" w:ascii="Times New Roman" w:hAnsi="Times New Roman"/>
          <w:color w:val="00000A"/>
          <w:sz w:val="24"/>
          <w:szCs w:val="24"/>
          <w:lang w:eastAsia="zh-CN" w:bidi="hi-IN"/>
        </w:rPr>
        <w:t xml:space="preserve">2.5.2.4 После окончания загрузки на экране появляется </w:t>
      </w:r>
      <w:r>
        <w:rPr>
          <w:rFonts w:cs="Times New Roman" w:ascii="Times New Roman" w:hAnsi="Times New Roman"/>
          <w:sz w:val="24"/>
          <w:szCs w:val="24"/>
        </w:rPr>
        <w:t>«Основное окно».</w:t>
      </w:r>
    </w:p>
    <w:p>
      <w:pPr>
        <w:pStyle w:val="Normal"/>
        <w:tabs>
          <w:tab w:val="clear" w:pos="709"/>
          <w:tab w:val="left" w:pos="0" w:leader="none"/>
          <w:tab w:val="left" w:pos="227" w:leader="none"/>
          <w:tab w:val="left" w:pos="708" w:leader="none"/>
        </w:tabs>
        <w:suppressAutoHyphens w:val="true"/>
        <w:spacing w:lineRule="auto" w:line="240" w:before="0" w:after="0"/>
        <w:ind w:left="1134" w:hanging="425"/>
        <w:contextualSpacing/>
        <w:jc w:val="both"/>
        <w:rPr>
          <w:rFonts w:ascii="Times New Roman" w:hAnsi="Times New Roman" w:eastAsia="SimSun" w:cs="Mangal"/>
          <w:color w:val="00000A"/>
          <w:sz w:val="24"/>
          <w:szCs w:val="24"/>
          <w:lang w:eastAsia="zh-CN" w:bidi="hi-IN"/>
        </w:rPr>
      </w:pPr>
      <w:r>
        <w:rPr>
          <w:rFonts w:eastAsia="SimSun" w:cs="Mangal" w:ascii="Times New Roman" w:hAnsi="Times New Roman"/>
          <w:color w:val="00000A"/>
          <w:sz w:val="24"/>
          <w:szCs w:val="24"/>
          <w:lang w:eastAsia="zh-CN" w:bidi="hi-IN"/>
        </w:rPr>
        <w:t xml:space="preserve">– </w:t>
      </w:r>
      <w:r>
        <w:rPr>
          <w:rFonts w:eastAsia="SimSun" w:cs="Mangal" w:ascii="Times New Roman" w:hAnsi="Times New Roman"/>
          <w:color w:val="00000A"/>
          <w:sz w:val="24"/>
          <w:szCs w:val="24"/>
          <w:lang w:eastAsia="zh-CN" w:bidi="hi-IN"/>
        </w:rPr>
        <w:t>В нижней части дисплея: время, дата, код ошибки (при наличии ошибки) – вводится в 16-ричном коде, о чем свидетельствует символ «</w:t>
      </w:r>
      <w:r>
        <w:rPr>
          <w:rFonts w:eastAsia="SimSun" w:cs="Mangal" w:ascii="Times New Roman" w:hAnsi="Times New Roman"/>
          <w:color w:val="00000A"/>
          <w:sz w:val="24"/>
          <w:szCs w:val="24"/>
          <w:lang w:val="en-US" w:eastAsia="zh-CN" w:bidi="hi-IN"/>
        </w:rPr>
        <w:t>h</w:t>
      </w:r>
      <w:r>
        <w:rPr>
          <w:rFonts w:eastAsia="SimSun" w:cs="Mangal" w:ascii="Times New Roman" w:hAnsi="Times New Roman"/>
          <w:color w:val="00000A"/>
          <w:sz w:val="24"/>
          <w:szCs w:val="24"/>
          <w:lang w:eastAsia="zh-CN" w:bidi="hi-IN"/>
        </w:rPr>
        <w:t xml:space="preserve">» в конце кода. </w:t>
      </w:r>
    </w:p>
    <w:p>
      <w:pPr>
        <w:pStyle w:val="Normal"/>
        <w:tabs>
          <w:tab w:val="left" w:pos="0" w:leader="none"/>
          <w:tab w:val="left" w:pos="227" w:leader="none"/>
          <w:tab w:val="left" w:pos="709" w:leader="none"/>
        </w:tabs>
        <w:suppressAutoHyphens w:val="true"/>
        <w:spacing w:lineRule="auto" w:line="240" w:before="0" w:after="0"/>
        <w:ind w:left="709" w:firstLine="284"/>
        <w:contextualSpacing/>
        <w:jc w:val="both"/>
        <w:rPr>
          <w:rFonts w:ascii="Times New Roman" w:hAnsi="Times New Roman" w:eastAsia="SimSun" w:cs="Mangal"/>
          <w:i/>
          <w:i/>
          <w:iCs/>
          <w:color w:val="70AD47" w:themeColor="accent6"/>
          <w:sz w:val="24"/>
          <w:szCs w:val="24"/>
          <w:lang w:eastAsia="zh-CN" w:bidi="hi-IN"/>
        </w:rPr>
      </w:pPr>
      <w:r>
        <w:rPr>
          <w:rFonts w:eastAsia="SimSun" w:cs="Mangal" w:ascii="Times New Roman" w:hAnsi="Times New Roman"/>
          <w:i/>
          <w:iCs/>
          <w:sz w:val="24"/>
          <w:szCs w:val="24"/>
          <w:lang w:eastAsia="zh-CN" w:bidi="hi-IN"/>
        </w:rPr>
        <w:t>В случае анализатора исполнения 2 и выбранном 2-м канале измерения, в конце строки добавляется обозначение: «</w:t>
      </w:r>
      <w:r>
        <w:rPr>
          <w:rFonts w:eastAsia="SimSun" w:cs="Mangal" w:ascii="Times New Roman" w:hAnsi="Times New Roman"/>
          <w:i/>
          <w:iCs/>
          <w:sz w:val="24"/>
          <w:szCs w:val="24"/>
          <w:lang w:val="en-US" w:eastAsia="zh-CN" w:bidi="hi-IN"/>
        </w:rPr>
        <w:t>Ch</w:t>
      </w:r>
      <w:r>
        <w:rPr>
          <w:rFonts w:eastAsia="SimSun" w:cs="Mangal" w:ascii="Times New Roman" w:hAnsi="Times New Roman"/>
          <w:i/>
          <w:iCs/>
          <w:sz w:val="24"/>
          <w:szCs w:val="24"/>
          <w:lang w:eastAsia="zh-CN" w:bidi="hi-IN"/>
        </w:rPr>
        <w:t>2».</w:t>
      </w:r>
    </w:p>
    <w:p>
      <w:pPr>
        <w:pStyle w:val="Normal"/>
        <w:tabs>
          <w:tab w:val="clear" w:pos="709"/>
          <w:tab w:val="left" w:pos="0" w:leader="none"/>
          <w:tab w:val="left" w:pos="227" w:leader="none"/>
          <w:tab w:val="left" w:pos="708" w:leader="none"/>
        </w:tabs>
        <w:suppressAutoHyphens w:val="true"/>
        <w:spacing w:lineRule="auto" w:line="240" w:before="0" w:after="0"/>
        <w:ind w:left="1134" w:hanging="425"/>
        <w:contextualSpacing/>
        <w:rPr>
          <w:rFonts w:ascii="Times New Roman" w:hAnsi="Times New Roman" w:eastAsia="SimSun" w:cs="Mangal"/>
          <w:color w:val="00000A"/>
          <w:sz w:val="24"/>
          <w:szCs w:val="24"/>
          <w:lang w:eastAsia="zh-CN" w:bidi="hi-IN"/>
        </w:rPr>
      </w:pPr>
      <w:r>
        <w:rPr>
          <w:rFonts w:eastAsia="SimSun" w:cs="Mangal" w:ascii="Times New Roman" w:hAnsi="Times New Roman"/>
          <w:color w:val="00000A"/>
          <w:sz w:val="24"/>
          <w:szCs w:val="24"/>
          <w:lang w:eastAsia="zh-CN" w:bidi="hi-IN"/>
        </w:rPr>
        <w:t>–</w:t>
      </w:r>
      <w:r>
        <w:rPr/>
        <w:t xml:space="preserve"> </w:t>
      </w:r>
      <w:r>
        <w:rPr>
          <w:rFonts w:eastAsia="SimSun" w:cs="Mangal" w:ascii="Times New Roman" w:hAnsi="Times New Roman"/>
          <w:color w:val="00000A"/>
          <w:sz w:val="24"/>
          <w:szCs w:val="24"/>
          <w:lang w:eastAsia="zh-CN" w:bidi="hi-IN"/>
        </w:rPr>
        <w:t xml:space="preserve">В верхней части дисплея: Темп. - температура газового потока с точностью до 0.1 </w:t>
      </w:r>
      <w:r>
        <w:rPr>
          <w:rFonts w:eastAsia="SimSun" w:cs="Mangal" w:ascii="Times New Roman" w:hAnsi="Times New Roman"/>
          <w:color w:val="00000A"/>
          <w:sz w:val="24"/>
          <w:szCs w:val="24"/>
          <w:vertAlign w:val="superscript"/>
          <w:lang w:eastAsia="zh-CN" w:bidi="hi-IN"/>
        </w:rPr>
        <w:t>о</w:t>
      </w:r>
      <w:r>
        <w:rPr>
          <w:rFonts w:eastAsia="SimSun" w:cs="Mangal" w:ascii="Times New Roman" w:hAnsi="Times New Roman"/>
          <w:color w:val="00000A"/>
          <w:sz w:val="24"/>
          <w:szCs w:val="24"/>
          <w:lang w:eastAsia="zh-CN" w:bidi="hi-IN"/>
        </w:rPr>
        <w:t>С, Поток – расход газа через сенсор в мл/мин (при наличии измерителя расхода).</w:t>
      </w:r>
    </w:p>
    <w:p>
      <w:pPr>
        <w:pStyle w:val="Normal"/>
        <w:tabs>
          <w:tab w:val="clear" w:pos="709"/>
          <w:tab w:val="left" w:pos="0" w:leader="none"/>
          <w:tab w:val="left" w:pos="227" w:leader="none"/>
          <w:tab w:val="left" w:pos="708" w:leader="none"/>
        </w:tabs>
        <w:suppressAutoHyphens w:val="true"/>
        <w:spacing w:lineRule="auto" w:line="240" w:before="0" w:after="0"/>
        <w:ind w:left="1134" w:hanging="425"/>
        <w:contextualSpacing/>
        <w:rPr>
          <w:rFonts w:ascii="Times New Roman" w:hAnsi="Times New Roman" w:eastAsia="SimSun" w:cs="Mangal"/>
          <w:color w:val="00000A"/>
          <w:sz w:val="24"/>
          <w:szCs w:val="24"/>
          <w:lang w:eastAsia="zh-CN" w:bidi="hi-IN"/>
        </w:rPr>
      </w:pPr>
      <w:r>
        <w:rPr>
          <w:rFonts w:eastAsia="SimSun" w:cs="Mangal" w:ascii="Times New Roman" w:hAnsi="Times New Roman"/>
          <w:color w:val="00000A"/>
          <w:sz w:val="24"/>
          <w:szCs w:val="24"/>
          <w:lang w:eastAsia="zh-CN" w:bidi="hi-IN"/>
        </w:rPr>
        <w:t>–</w:t>
      </w:r>
      <w:r>
        <w:rPr/>
        <w:t xml:space="preserve"> </w:t>
      </w:r>
      <w:r>
        <w:rPr>
          <w:rFonts w:eastAsia="SimSun" w:cs="Mangal" w:ascii="Times New Roman" w:hAnsi="Times New Roman"/>
          <w:color w:val="00000A"/>
          <w:sz w:val="24"/>
          <w:szCs w:val="24"/>
          <w:lang w:eastAsia="zh-CN" w:bidi="hi-IN"/>
        </w:rPr>
        <w:t xml:space="preserve">В центральной части: измеренная концентрация кислорода в </w:t>
      </w:r>
      <w:r>
        <w:rPr>
          <w:rFonts w:eastAsia="SimSun" w:cs="Mangal" w:ascii="Times New Roman" w:hAnsi="Times New Roman"/>
          <w:color w:val="00000A"/>
          <w:sz w:val="24"/>
          <w:szCs w:val="24"/>
          <w:lang w:val="en-US" w:eastAsia="zh-CN" w:bidi="hi-IN"/>
        </w:rPr>
        <w:t>ppm</w:t>
      </w:r>
      <w:r>
        <w:rPr>
          <w:rFonts w:eastAsia="SimSun" w:cs="Mangal" w:ascii="Times New Roman" w:hAnsi="Times New Roman"/>
          <w:color w:val="00000A"/>
          <w:sz w:val="24"/>
          <w:szCs w:val="24"/>
          <w:lang w:eastAsia="zh-CN" w:bidi="hi-IN"/>
        </w:rPr>
        <w:t xml:space="preserve"> или %, в зависимости от выбранной единицы измерения</w:t>
      </w:r>
      <w:bookmarkEnd w:id="97"/>
      <w:r>
        <w:rPr>
          <w:rFonts w:eastAsia="SimSun" w:cs="Mangal" w:ascii="Times New Roman" w:hAnsi="Times New Roman"/>
          <w:color w:val="00000A"/>
          <w:sz w:val="24"/>
          <w:szCs w:val="24"/>
          <w:lang w:eastAsia="zh-CN" w:bidi="hi-IN"/>
        </w:rPr>
        <w:t>.</w:t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98" w:name="_Hlk96688467"/>
      <w:r>
        <w:rPr>
          <w:rFonts w:cs="Times New Roman" w:ascii="Times New Roman" w:hAnsi="Times New Roman"/>
          <w:sz w:val="24"/>
          <w:szCs w:val="24"/>
        </w:rPr>
        <w:t>2.5.2.4.1 На рисунке 13 приведен вид основного окна в случае выбора «%». Максимальное значение в этом режиме составляет 99.9 %.</w:t>
      </w:r>
      <w:bookmarkEnd w:id="98"/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14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449445" cy="2988310"/>
            <wp:effectExtent l="0" t="0" r="0" b="0"/>
            <wp:docPr id="21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0" w:leader="none"/>
          <w:tab w:val="left" w:pos="227" w:leader="none"/>
        </w:tabs>
        <w:spacing w:lineRule="auto" w:line="240" w:before="0" w:after="0"/>
        <w:ind w:firstLine="14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13 – Вид основного окна в случае выбора «%».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bookmarkStart w:id="99" w:name="_Hlk96688942"/>
      <w:r>
        <w:rPr/>
        <w:t>На рисунке 14 приведен вид основного окна в случае, когда измерение идет в рр</w:t>
      </w:r>
      <w:r>
        <w:rPr>
          <w:lang w:val="en-US"/>
        </w:rPr>
        <w:t>m</w:t>
      </w:r>
      <w:r>
        <w:rPr/>
        <w:t xml:space="preserve"> и его значение не превышает 9999 рр</w:t>
      </w:r>
      <w:r>
        <w:rPr>
          <w:lang w:val="en-US"/>
        </w:rPr>
        <w:t>m</w:t>
      </w:r>
      <w:r>
        <w:rPr/>
        <w:t>:</w:t>
      </w:r>
      <w:bookmarkEnd w:id="99"/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4505325" cy="2966085"/>
            <wp:effectExtent l="0" t="0" r="0" b="0"/>
            <wp:docPr id="22" name="Рисунок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/>
        <w:t>Рисунок 14 – Вид основного окна в случае выбора «ррm»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На рисунке 15 приведен вид основного окна при наличии измерителя расхода (надпись «Поток» в правом верхнем углу).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4589145" cy="3088005"/>
            <wp:effectExtent l="0" t="0" r="0" b="0"/>
            <wp:docPr id="23" name="Рисунок 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1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/>
        <w:t>Рисунок 15 – Вид основного окна при наличии «Поток»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2.5.2.4.2 На рисунке 16 изображен вид основного окна, если зафиксирована авария датчика температуры (кода ошибок 02h и 04h).  Причиной могут быть обрыв или короткое замыкание. При этом температура принимается равной 25℃, а надпись мигает с периодом 1 сек.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608830" cy="3116580"/>
            <wp:effectExtent l="0" t="0" r="0" b="0"/>
            <wp:docPr id="24" name="Рисунок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5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16 – Вид основного окна при ошибке «Темп.»</w:t>
      </w:r>
    </w:p>
    <w:p>
      <w:pPr>
        <w:pStyle w:val="NormalWeb"/>
        <w:spacing w:before="280" w:after="280"/>
        <w:ind w:firstLine="567"/>
        <w:jc w:val="both"/>
        <w:rPr/>
      </w:pPr>
      <w:r>
        <w:rPr/>
        <w:t>Аналогично, если поток газа через сенсор меньше порогового значения, то мигает надпись «Поток» (код ошибки 80</w:t>
      </w:r>
      <w:r>
        <w:rPr>
          <w:lang w:val="en-US"/>
        </w:rPr>
        <w:t>h</w:t>
      </w:r>
      <w:r>
        <w:rPr/>
        <w:t>). Вид основного окна при ошибке «Поток» изображен на рисунке 17.</w:t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4564380" cy="3086735"/>
            <wp:effectExtent l="0" t="0" r="0" b="0"/>
            <wp:docPr id="25" name="Рисунок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7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17 –</w:t>
      </w:r>
      <w:r>
        <w:rPr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Вид основного окна при ошибке «Порог»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Если сенсор кислорода со временем деградировал и рекомендуется его замена, то в правом нижнем углу экрана появляется «</w:t>
      </w:r>
      <w:r>
        <w:rPr>
          <w:lang w:val="en-US"/>
        </w:rPr>
        <w:t>D</w:t>
      </w:r>
      <w:r>
        <w:rPr/>
        <w:t>» (код ошибки 01</w:t>
      </w:r>
      <w:r>
        <w:rPr>
          <w:lang w:val="en-US"/>
        </w:rPr>
        <w:t>h</w:t>
      </w:r>
      <w:r>
        <w:rPr/>
        <w:t>), как показано на рисунке 18.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При появлении данного сигнала следует обратиться в сервисный центр фирмы изготовителя с целью замены сенсора.</w:t>
      </w:r>
    </w:p>
    <w:p>
      <w:pPr>
        <w:pStyle w:val="NormalWeb"/>
        <w:spacing w:before="280" w:after="280"/>
        <w:jc w:val="both"/>
        <w:rPr/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572000" cy="3101340"/>
            <wp:effectExtent l="0" t="0" r="0" b="0"/>
            <wp:docPr id="26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/>
        <w:t>Рисунок 18 – Вид основного окна при ошибке «Деградация сенсора (</w:t>
      </w:r>
      <w:r>
        <w:rPr>
          <w:lang w:val="en-US"/>
        </w:rPr>
        <w:t>D</w:t>
      </w:r>
      <w:r>
        <w:rPr/>
        <w:t>)»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В анализаторе исполнения 2, если поток измеряемого газа ниже порога, то сенсор изолируется и экран имеет вид, изображенный на рисунке 19. После устранения неисправности для запуска прибора в штатном режиме следует нажать клавишу «Возврат».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4581525" cy="3076575"/>
            <wp:effectExtent l="0" t="0" r="0" b="0"/>
            <wp:docPr id="2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/>
        <w:t>Рисунок 19 – Вид основного окна при ошибке «Поток» в исполнении 2</w:t>
      </w:r>
    </w:p>
    <w:p>
      <w:pPr>
        <w:pStyle w:val="NormalWeb"/>
        <w:spacing w:before="280" w:after="280"/>
        <w:ind w:firstLine="567"/>
        <w:jc w:val="both"/>
        <w:rPr>
          <w:b/>
          <w:bCs/>
          <w:i/>
          <w:i/>
          <w:iCs/>
        </w:rPr>
      </w:pPr>
      <w:r>
        <w:rPr>
          <w:b/>
          <w:bCs/>
          <w:i/>
          <w:iCs/>
        </w:rPr>
        <w:t>Примечание: при нажатии любой клавиши, кроме клавиши «Ввод» и «Возврат» происходит переход в главное меню.</w:t>
      </w:r>
    </w:p>
    <w:p>
      <w:pPr>
        <w:pStyle w:val="NormalWeb"/>
        <w:numPr>
          <w:ilvl w:val="2"/>
          <w:numId w:val="4"/>
        </w:numPr>
        <w:spacing w:before="280" w:after="0"/>
        <w:ind w:left="1276" w:hanging="720"/>
        <w:contextualSpacing/>
        <w:rPr>
          <w:b/>
          <w:bCs/>
          <w:i/>
          <w:i/>
          <w:iCs/>
        </w:rPr>
      </w:pPr>
      <w:r>
        <w:rPr>
          <w:b/>
          <w:bCs/>
          <w:i/>
          <w:iCs/>
        </w:rPr>
        <w:t>Порядок работы.</w:t>
      </w:r>
    </w:p>
    <w:p>
      <w:pPr>
        <w:pStyle w:val="NormalWeb"/>
        <w:numPr>
          <w:ilvl w:val="3"/>
          <w:numId w:val="4"/>
        </w:numPr>
        <w:spacing w:beforeAutospacing="0" w:before="0" w:afterAutospacing="0" w:after="0"/>
        <w:ind w:left="0" w:firstLine="567"/>
        <w:contextualSpacing/>
        <w:jc w:val="both"/>
        <w:rPr/>
      </w:pPr>
      <w:r>
        <w:rPr>
          <w:i/>
          <w:iCs/>
        </w:rPr>
        <w:t>Алгоритм работы анализатора</w:t>
      </w:r>
      <w:r>
        <w:rPr/>
        <w:t xml:space="preserve"> предусматривает непрерывное измерение концентрации кислорода в исследуемом газе, усреднение за час и последующее архивирование полученных результатов, непрерывный контроль за состоянием прибора, а в случае исполнения 2 – периодическую автоматическую калибровку.</w:t>
      </w:r>
    </w:p>
    <w:p>
      <w:pPr>
        <w:pStyle w:val="NormalWeb"/>
        <w:spacing w:beforeAutospacing="0" w:before="0" w:afterAutospacing="0" w:after="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Autospacing="0" w:after="0"/>
        <w:ind w:firstLine="567"/>
        <w:contextualSpacing/>
        <w:jc w:val="both"/>
        <w:rPr>
          <w:i/>
          <w:i/>
          <w:iCs/>
        </w:rPr>
      </w:pPr>
      <w:r>
        <w:rPr>
          <w:i/>
          <w:iCs/>
        </w:rPr>
        <w:t>2.5.2.2 Ввод паролей.</w:t>
      </w:r>
    </w:p>
    <w:p>
      <w:pPr>
        <w:pStyle w:val="NormalWeb"/>
        <w:spacing w:before="280" w:afterAutospacing="0" w:after="0"/>
        <w:ind w:firstLine="567"/>
        <w:contextualSpacing/>
        <w:jc w:val="both"/>
        <w:rPr/>
      </w:pPr>
      <w:r>
        <w:rPr/>
        <w:t>При нажатии клавиши «Ввод» предварительно запрашивается пароль. Пароль представляет собой 4-х значное целое число без знака. Текущая позиция ввода выделена фоном. Нажатие клавиши «Вверх» увеличивает выделенную цифру на 1 (но не более 9), клавиши «Вниз» уменьшает на 1 (но не менее 0), перемещение позиции ввода осуществляется клавишами «Вправо» и «Влево». После завершения ввода следует нажать клавишу «Ввод».  На рисунках 20 и 21 изображен вид окна при вводе пароля.</w:t>
      </w:r>
    </w:p>
    <w:p>
      <w:pPr>
        <w:pStyle w:val="NormalWeb"/>
        <w:spacing w:before="280" w:afterAutospacing="0" w:after="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Autospacing="0" w:after="0"/>
        <w:ind w:firstLine="993"/>
        <w:contextualSpacing/>
        <w:jc w:val="center"/>
        <w:rPr/>
      </w:pPr>
      <w:r>
        <w:rPr/>
        <w:drawing>
          <wp:inline distT="0" distB="0" distL="0" distR="0">
            <wp:extent cx="4475480" cy="2820670"/>
            <wp:effectExtent l="0" t="0" r="0" b="0"/>
            <wp:docPr id="28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Autospacing="0" w:after="0"/>
        <w:ind w:firstLine="567"/>
        <w:contextualSpacing/>
        <w:jc w:val="center"/>
        <w:rPr/>
      </w:pPr>
      <w:r>
        <w:rPr/>
        <w:t>Рисунок 20 – Вид окна после нажатия клавиши «Ввод»</w:t>
      </w:r>
    </w:p>
    <w:p>
      <w:pPr>
        <w:pStyle w:val="NormalWeb"/>
        <w:spacing w:before="280" w:afterAutospacing="0" w:after="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Autospacing="0" w:after="0"/>
        <w:ind w:firstLine="851"/>
        <w:contextualSpacing/>
        <w:jc w:val="center"/>
        <w:rPr/>
      </w:pPr>
      <w:r>
        <w:rPr/>
        <w:drawing>
          <wp:inline distT="0" distB="0" distL="0" distR="0">
            <wp:extent cx="4495165" cy="2974975"/>
            <wp:effectExtent l="0" t="0" r="0" b="0"/>
            <wp:docPr id="29" name="Рисунок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4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Autospacing="0" w:after="0"/>
        <w:ind w:firstLine="851"/>
        <w:contextualSpacing/>
        <w:jc w:val="center"/>
        <w:rPr/>
      </w:pPr>
      <w:r>
        <w:rPr/>
        <w:t>Рисунок 21 – Вид окна при вводе пароля</w:t>
      </w:r>
    </w:p>
    <w:p>
      <w:pPr>
        <w:pStyle w:val="NormalWeb"/>
        <w:spacing w:before="280" w:afterAutospacing="0" w:after="0"/>
        <w:ind w:firstLine="851"/>
        <w:contextualSpacing/>
        <w:jc w:val="both"/>
        <w:rPr/>
      </w:pPr>
      <w:r>
        <w:rPr/>
      </w:r>
    </w:p>
    <w:p>
      <w:pPr>
        <w:pStyle w:val="NormalWeb"/>
        <w:spacing w:before="280" w:afterAutospacing="0" w:after="0"/>
        <w:ind w:firstLine="851"/>
        <w:contextualSpacing/>
        <w:jc w:val="both"/>
        <w:rPr/>
      </w:pPr>
      <w:r>
        <w:rPr/>
        <w:t>Если пароль введен неправильно, то на экран выводится сообщение: «Пароль не верен. Нажмите любую клавишу», как показано на рисунке 22. После нажатия клавиши следует переход в главное меню.</w:t>
      </w:r>
    </w:p>
    <w:p>
      <w:pPr>
        <w:pStyle w:val="NormalWeb"/>
        <w:spacing w:before="280" w:afterAutospacing="0" w:after="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Autospacing="0" w:after="0"/>
        <w:ind w:firstLine="567"/>
        <w:contextualSpacing/>
        <w:jc w:val="center"/>
        <w:rPr/>
      </w:pPr>
      <w:r>
        <w:rPr/>
        <w:drawing>
          <wp:inline distT="0" distB="0" distL="0" distR="0">
            <wp:extent cx="4600575" cy="3133725"/>
            <wp:effectExtent l="0" t="0" r="0" b="0"/>
            <wp:docPr id="30" name="Рисунок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6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Autospacing="0" w:after="0"/>
        <w:ind w:firstLine="851"/>
        <w:contextualSpacing/>
        <w:jc w:val="center"/>
        <w:rPr/>
      </w:pPr>
      <w:r>
        <w:rPr/>
        <w:t>Рисунок 22 – Вид окна при вводе неверного пароля</w:t>
      </w:r>
    </w:p>
    <w:p>
      <w:pPr>
        <w:pStyle w:val="NormalWeb"/>
        <w:spacing w:before="280" w:afterAutospacing="0" w:after="0"/>
        <w:ind w:firstLine="567"/>
        <w:contextualSpacing/>
        <w:jc w:val="center"/>
        <w:rPr/>
      </w:pPr>
      <w:r>
        <w:rPr/>
      </w:r>
    </w:p>
    <w:p>
      <w:pPr>
        <w:pStyle w:val="NormalWeb"/>
        <w:spacing w:before="280" w:afterAutospacing="0" w:after="0"/>
        <w:ind w:firstLine="567"/>
        <w:contextualSpacing/>
        <w:jc w:val="both"/>
        <w:rPr/>
      </w:pPr>
      <w:r>
        <w:rPr/>
        <w:t xml:space="preserve">Если пароль введен правильно, то переход в главное меню следует немедленно, а в нижней строке появляется индикатор ввода пароля – </w:t>
      </w:r>
      <w:bookmarkStart w:id="100" w:name="_Hlk99006810"/>
      <w:r>
        <w:rPr/>
        <w:t>«</w:t>
      </w:r>
      <w:r>
        <w:rPr>
          <w:lang w:val="en-US"/>
        </w:rPr>
        <w:t>U</w:t>
      </w:r>
      <w:r>
        <w:rPr/>
        <w:t xml:space="preserve">» </w:t>
      </w:r>
      <w:bookmarkEnd w:id="100"/>
      <w:r>
        <w:rPr/>
        <w:t>или «</w:t>
      </w:r>
      <w:r>
        <w:rPr>
          <w:lang w:val="en-US"/>
        </w:rPr>
        <w:t>A</w:t>
      </w:r>
      <w:r>
        <w:rPr/>
        <w:t>». Каждый прибор содержит два пароля: пользователя («U») и администратора («A»). Если переход в меню был осуществлен без ввода пароля или пароль введен неверно, то выводится окно меню в режиме наблюдателя.</w:t>
      </w:r>
    </w:p>
    <w:p>
      <w:pPr>
        <w:pStyle w:val="NormalWeb"/>
        <w:spacing w:beforeAutospacing="0" w:before="0" w:afterAutospacing="0" w:after="0"/>
        <w:ind w:firstLine="567"/>
        <w:contextualSpacing/>
        <w:jc w:val="both"/>
        <w:rPr/>
      </w:pPr>
      <w:r>
        <w:rPr/>
        <w:t>Пароль пользователя разрешает: проведение калибровки, установки времени/даты и изменения интерфейсных настроек (параметров ModBus и границ вывода данных по интерфейсу 4-20 мА. Время/дата и настройки ModBus также могут быть изменены при записи соответствующих регистров ModBus). Если введен пароль администратора, то меню дополняется новыми пунктами, которые позволяют стереть архивные данные и назначить текущую калибровку основной.</w:t>
      </w:r>
    </w:p>
    <w:p>
      <w:pPr>
        <w:pStyle w:val="NormalWeb"/>
        <w:spacing w:beforeAutospacing="0" w:before="0" w:afterAutospacing="0" w:after="0"/>
        <w:ind w:firstLine="567"/>
        <w:contextualSpacing/>
        <w:jc w:val="both"/>
        <w:rPr/>
      </w:pPr>
      <w:r>
        <w:rPr/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2.5.2.3 Окно «Главное меню».</w:t>
      </w:r>
    </w:p>
    <w:p>
      <w:pPr>
        <w:pStyle w:val="NormalWeb"/>
        <w:spacing w:beforeAutospacing="0" w:before="0" w:afterAutospacing="0" w:after="0"/>
        <w:ind w:firstLine="567"/>
        <w:contextualSpacing/>
        <w:jc w:val="both"/>
        <w:rPr/>
      </w:pPr>
      <w:r>
        <w:rPr/>
        <w:t>Для входа в главное меню анализатора необходимо в режиме основного меню нажать любую клавишу, кроме «Ввод» и «Возврат».</w:t>
      </w:r>
    </w:p>
    <w:p>
      <w:pPr>
        <w:pStyle w:val="NormalWeb"/>
        <w:spacing w:beforeAutospacing="0" w:before="0" w:afterAutospacing="0" w:after="0"/>
        <w:ind w:firstLine="567"/>
        <w:contextualSpacing/>
        <w:jc w:val="both"/>
        <w:rPr/>
      </w:pPr>
      <w:r>
        <w:rPr/>
        <w:t xml:space="preserve"> </w:t>
      </w:r>
      <w:r>
        <w:rPr/>
        <w:t>Выбор пункта меню осуществляется клавишами «Вверх» и «Вниз», выбранный пункт выделяется зеленым цветом. Для входа в пункт меню следует нажать клавиши «Вправо» или «Ввод».  Возврат в основное окно индикации происходит после нажатия клавиши «Возврат», при этом введенный пароль сбрасывается.</w:t>
      </w:r>
    </w:p>
    <w:p>
      <w:pPr>
        <w:pStyle w:val="NormalWeb"/>
        <w:spacing w:beforeAutospacing="0" w:before="0" w:afterAutospacing="0" w:after="0"/>
        <w:ind w:firstLine="567"/>
        <w:contextualSpacing/>
        <w:jc w:val="both"/>
        <w:rPr/>
      </w:pPr>
      <w:r>
        <w:rPr/>
        <w:t>Главное меню в режиме наблюдателя приведено на рисунке 23, которое состоит из разделов: «Калибровка», «Информация», «Архив», «Установка интерфейсов».</w:t>
      </w:r>
    </w:p>
    <w:p>
      <w:pPr>
        <w:pStyle w:val="NormalWeb"/>
        <w:spacing w:beforeAutospacing="0" w:before="0" w:afterAutospacing="0" w:after="0"/>
        <w:ind w:firstLine="567"/>
        <w:contextualSpacing/>
        <w:jc w:val="both"/>
        <w:rPr/>
      </w:pPr>
      <w:r>
        <w:rPr/>
      </w:r>
    </w:p>
    <w:p>
      <w:pPr>
        <w:pStyle w:val="NormalWeb"/>
        <w:spacing w:beforeAutospacing="0" w:before="0" w:afterAutospacing="0" w:after="0"/>
        <w:contextualSpacing/>
        <w:jc w:val="both"/>
        <w:rPr/>
      </w:pPr>
      <w:r>
        <w:rPr/>
      </w:r>
    </w:p>
    <w:p>
      <w:pPr>
        <w:pStyle w:val="NormalWeb"/>
        <w:spacing w:beforeAutospacing="0" w:before="0" w:afterAutospacing="0" w:after="0"/>
        <w:contextualSpacing/>
        <w:jc w:val="center"/>
        <w:rPr/>
      </w:pPr>
      <w:r>
        <w:rPr/>
        <w:drawing>
          <wp:inline distT="0" distB="0" distL="0" distR="0">
            <wp:extent cx="4679950" cy="3184525"/>
            <wp:effectExtent l="0" t="0" r="0" b="0"/>
            <wp:docPr id="31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contextualSpacing/>
        <w:jc w:val="center"/>
        <w:rPr/>
      </w:pPr>
      <w:bookmarkStart w:id="101" w:name="_Hlk99007311"/>
      <w:r>
        <w:rPr/>
        <w:t>Рисунок 23 – Главное меню в режиме наблюдателя</w:t>
      </w:r>
      <w:bookmarkEnd w:id="101"/>
    </w:p>
    <w:p>
      <w:pPr>
        <w:pStyle w:val="NormalWeb"/>
        <w:spacing w:beforeAutospacing="0" w:before="0" w:afterAutospacing="0" w:after="0"/>
        <w:contextualSpacing/>
        <w:jc w:val="center"/>
        <w:rPr/>
      </w:pPr>
      <w:r>
        <w:rPr/>
      </w:r>
    </w:p>
    <w:p>
      <w:pPr>
        <w:pStyle w:val="NormalWeb"/>
        <w:spacing w:before="280" w:after="280"/>
        <w:ind w:firstLine="567"/>
        <w:contextualSpacing/>
        <w:jc w:val="both"/>
        <w:rPr/>
      </w:pPr>
      <w:bookmarkStart w:id="102" w:name="_Hlk99007248"/>
      <w:bookmarkEnd w:id="102"/>
      <w:r>
        <w:rPr/>
        <w:t>После ввода системного пароля пользователя («</w:t>
      </w:r>
      <w:r>
        <w:rPr>
          <w:lang w:val="en-US"/>
        </w:rPr>
        <w:t>U</w:t>
      </w:r>
      <w:r>
        <w:rPr/>
        <w:t xml:space="preserve">») главное меню примет вид, который приведен на рисунке 24.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Главное меню с системным паролем пользователя («</w:t>
      </w:r>
      <w:r>
        <w:rPr>
          <w:lang w:val="en-US"/>
        </w:rPr>
        <w:t>U</w:t>
      </w:r>
      <w:r>
        <w:rPr/>
        <w:t>») состоит из разделов: «Калибровка», «Информация», «Архив», «Установка интерфейсов», «Установка времени».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</w:r>
      <w:bookmarkStart w:id="103" w:name="_Hlk99007248_Копия_1"/>
      <w:bookmarkStart w:id="104" w:name="_Hlk99007248_Копия_1"/>
      <w:bookmarkEnd w:id="104"/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4800600" cy="3203575"/>
            <wp:effectExtent l="0" t="0" r="0" b="0"/>
            <wp:docPr id="32" name="Рисунок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8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contextualSpacing/>
        <w:jc w:val="center"/>
        <w:rPr/>
      </w:pPr>
      <w:bookmarkStart w:id="105" w:name="_Hlk99007390"/>
      <w:r>
        <w:rPr/>
        <w:t>Рисунок 24 – Главное меню после ввода пароля пользователя</w:t>
      </w:r>
      <w:bookmarkEnd w:id="105"/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После ввода системного пароля администратора («А») главное меню примет вид, который приведен на рисунке 25.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Главное меню с системным паролем администратора («А») состоит из разделов: «Калибровка», «Информация», «Архив», «Установка интерфейсов», «Установка времени», «Настройки». </w:t>
      </w:r>
    </w:p>
    <w:p>
      <w:pPr>
        <w:pStyle w:val="NormalWeb"/>
        <w:spacing w:before="280" w:after="280"/>
        <w:ind w:left="708" w:hanging="0"/>
        <w:contextualSpacing/>
        <w:jc w:val="both"/>
        <w:rPr/>
      </w:pPr>
      <w:r>
        <w:rPr/>
        <w:drawing>
          <wp:inline distT="0" distB="0" distL="0" distR="0">
            <wp:extent cx="4619625" cy="3057525"/>
            <wp:effectExtent l="0" t="0" r="0" b="0"/>
            <wp:docPr id="33" name="Рисунок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44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contextualSpacing/>
        <w:jc w:val="center"/>
        <w:rPr/>
      </w:pPr>
      <w:r>
        <w:rPr/>
        <w:t>Рисунок 25 – Главное меню после ввода пароля администратора</w:t>
      </w:r>
    </w:p>
    <w:p>
      <w:pPr>
        <w:pStyle w:val="NormalWeb"/>
        <w:spacing w:before="280" w:after="280"/>
        <w:contextualSpacing/>
        <w:jc w:val="both"/>
        <w:rPr/>
      </w:pPr>
      <w:r>
        <w:rPr/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>
          <w:b/>
          <w:bCs/>
          <w:i/>
          <w:i/>
          <w:iCs/>
        </w:rPr>
      </w:pPr>
      <w:r>
        <w:rPr>
          <w:b/>
          <w:bCs/>
          <w:i/>
          <w:iCs/>
        </w:rPr>
        <w:t>2.5.3 «Информация».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Этот раздел содержит четыре страницы. Переход между страницами осуществляется клавишами «</w:t>
      </w:r>
      <w:bookmarkStart w:id="106" w:name="_Hlk99008909"/>
      <w:r>
        <w:rPr/>
        <w:t>Вверх» и «Вниз»</w:t>
      </w:r>
      <w:bookmarkEnd w:id="106"/>
      <w:r>
        <w:rPr/>
        <w:t>. Выход из режима по нажатию клавиши «Возврат». Для удобства перемещения между страницами в правой части экрана имеются индикаторы символов стрелок «Вверх» и «Вниз». Если отображена только стрелка «Вниз», то выше ничего нет, и наоборот.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bookmarkStart w:id="107" w:name="_Hlk99008537"/>
      <w:r>
        <mc:AlternateContent>
          <mc:Choice Requires="wps">
            <w:drawing>
              <wp:anchor behindDoc="0" distT="0" distB="0" distL="0" distR="0" simplePos="0" locked="0" layoutInCell="0" allowOverlap="1" relativeHeight="88" wp14:anchorId="20E7C67F">
                <wp:simplePos x="0" y="0"/>
                <wp:positionH relativeFrom="column">
                  <wp:posOffset>2207260</wp:posOffset>
                </wp:positionH>
                <wp:positionV relativeFrom="paragraph">
                  <wp:posOffset>2508885</wp:posOffset>
                </wp:positionV>
                <wp:extent cx="278765" cy="278765"/>
                <wp:effectExtent l="0" t="0" r="0" b="0"/>
                <wp:wrapNone/>
                <wp:docPr id="34" name="Рисунок 86" descr="Воспроизвести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6" descr="Воспроизвести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 rot="5400000">
                          <a:off x="0" y="0"/>
                          <a:ext cx="278640" cy="278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86" stroked="f" o:allowincell="f" style="position:absolute;margin-left:173.8pt;margin-top:197.55pt;width:21.9pt;height:21.9pt;mso-wrap-style:none;v-text-anchor:middle;rotation:90" wp14:anchorId="20E7C67F" type="_x0000_t75">
                <v:imagedata r:id="rId36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i/>
          <w:iCs/>
        </w:rPr>
        <w:t>2.5.3.1 Первая</w:t>
      </w:r>
      <w:r>
        <w:rPr/>
        <w:t xml:space="preserve"> </w:t>
      </w:r>
      <w:r>
        <w:rPr>
          <w:i/>
          <w:iCs/>
        </w:rPr>
        <w:t>страница</w:t>
      </w:r>
      <w:r>
        <w:rPr/>
        <w:t xml:space="preserve"> представляет собой электронный шильдик, в котором содержится </w:t>
      </w:r>
      <w:r>
        <w:rPr>
          <w:lang w:val="en-US"/>
        </w:rPr>
        <w:t>QR</w:t>
      </w:r>
      <w:r>
        <w:rPr/>
        <w:t xml:space="preserve">-код для доступа к заводской базе данных, серийный номер прибора, год и месяц его выпуска (рисунок 26).  </w:t>
      </w:r>
      <w:bookmarkEnd w:id="107"/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4610100" cy="3114675"/>
            <wp:effectExtent l="0" t="0" r="0" b="0"/>
            <wp:docPr id="35" name="Рисунок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48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/>
        <w:t xml:space="preserve">Рисунок 26 – Вид первой страницы с </w:t>
      </w:r>
      <w:r>
        <w:rPr>
          <w:lang w:val="en-US"/>
        </w:rPr>
        <w:t>QR</w:t>
      </w:r>
      <w:r>
        <w:rPr/>
        <w:t>-кодом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>
          <w:i/>
          <w:iCs/>
        </w:rPr>
        <w:t>2.5.3.1 На второй странице</w:t>
      </w:r>
      <w:r>
        <w:rPr/>
        <w:t xml:space="preserve"> содержится информация о наименовании ПО, его идентификатор (</w:t>
      </w:r>
      <w:r>
        <w:rPr>
          <w:lang w:val="en-US"/>
        </w:rPr>
        <w:t>CR</w:t>
      </w:r>
      <w:r>
        <w:rPr/>
        <w:t>С32 = 0</w:t>
      </w:r>
      <w:r>
        <w:rPr>
          <w:lang w:val="en-US"/>
        </w:rPr>
        <w:t>x</w:t>
      </w:r>
      <w:r>
        <w:rPr/>
        <w:t xml:space="preserve">………….), серийный номер прибора, год и месяц его выпуска. С25 – предельное значение концентрации кислорода по результатам последней калибровки при температуре 25 </w:t>
      </w:r>
      <w:r>
        <w:rPr>
          <w:vertAlign w:val="superscript"/>
        </w:rPr>
        <w:t>о</w:t>
      </w:r>
      <w:r>
        <w:rPr/>
        <w:t>С, Сtmp – при текущей температуре (Рисунок 27 и 28).</w:t>
      </w:r>
    </w:p>
    <w:p>
      <w:pPr>
        <w:pStyle w:val="NormalWeb"/>
        <w:spacing w:before="280" w:after="280"/>
        <w:jc w:val="center"/>
        <w:rPr/>
      </w:pPr>
      <w:r>
        <w:rPr/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4591050" cy="3095625"/>
            <wp:effectExtent l="0" t="0" r="0" b="0"/>
            <wp:docPr id="36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/>
        <w:t>Рисунок 27 – Вид второй страницы с основной информацией в исполнении 1</w:t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4572000" cy="3048000"/>
            <wp:effectExtent l="0" t="0" r="0" b="0"/>
            <wp:docPr id="37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/>
        <w:t>Рисунок 28 – Вид второй страницы с основной информацией в исполнении 2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>
          <w:i/>
          <w:iCs/>
        </w:rPr>
        <w:t>2.5.3.2 На третьей странице</w:t>
      </w:r>
      <w:r>
        <w:rPr/>
        <w:t xml:space="preserve"> приведены системные значения настройки прибора, которые показаны на рисунках 29 и 30.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Содержимое данного окна предназначено для диагностики прибора. Подробное описание содержимого приведено в приложении Б.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Для пользователя здесь важна информация по значению «Порог», а также «Минимальный расход газа». Если значение «Минимального расход газа» или «Порога» равны нулю, то данные ошибки не анализируются.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4396105" cy="2952115"/>
            <wp:effectExtent l="0" t="0" r="0" b="0"/>
            <wp:docPr id="38" name="Рисунок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53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t>Рисунок 29 – Вид третьей страницы без измерителя расхода</w:t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drawing>
          <wp:inline distT="0" distB="0" distL="0" distR="0">
            <wp:extent cx="4608830" cy="3101340"/>
            <wp:effectExtent l="0" t="0" r="0" b="0"/>
            <wp:docPr id="39" name="Рисунок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6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t>Рисунок 30 – Вид третьей страницы с измерителем расхода</w:t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>
          <w:i/>
          <w:iCs/>
        </w:rPr>
        <w:t xml:space="preserve">2.5.3.3 На четвертой странице </w:t>
      </w:r>
      <w:r>
        <w:rPr/>
        <w:t xml:space="preserve">приводится расшифровка байта состояния: в начале каждой строки окна приводится положение бита в 16-тиричном коде, затем краткое описание неисправности (Рисунок 31).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667250" cy="3152775"/>
            <wp:effectExtent l="0" t="0" r="0" b="0"/>
            <wp:docPr id="40" name="Рисунок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3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31 – Вид четвертой страницы с расшифровкой кода ошибок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2.5.4 Установка интерфейсов.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Установка интерфейсов производится после ввода пароля пользователя или администратора. В режиме наблюдателя редактирование параметров интерфейсов запрещено: при нажатии любой клавиши происходит возврат в главное меню. После входа в данный режим экран ЖКИ имеет вид, изображенный на рисунках 32 и 33.</w:t>
      </w:r>
      <w:r>
        <w:rPr/>
        <w:t xml:space="preserve"> </w:t>
      </w:r>
      <w:r>
        <w:rPr>
          <w:rFonts w:cs="Times New Roman" w:ascii="Times New Roman" w:hAnsi="Times New Roman"/>
          <w:sz w:val="24"/>
          <w:szCs w:val="24"/>
        </w:rPr>
        <w:t>Выбор функции производится клавишами «Вверх» и «Вниз».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Карта регистров Modbus приведена в таблице Б1 приложения Б.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623435" cy="3086735"/>
            <wp:effectExtent l="0" t="0" r="0" b="0"/>
            <wp:docPr id="41" name="Рисунок 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74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32 – Вид окна интерфейса при включенном тестовом режиме</w:t>
      </w:r>
    </w:p>
    <w:p>
      <w:pPr>
        <w:pStyle w:val="Normal"/>
        <w:spacing w:lineRule="auto" w:line="240" w:before="0" w:after="1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left="426" w:hanging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638040" cy="3094355"/>
            <wp:effectExtent l="0" t="0" r="0" b="0"/>
            <wp:docPr id="42" name="Рисунок 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72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33 – Вид окна интерфейса при отключенном тестовом режиме</w:t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Адрес.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Ввод адреса происходит при нажатии клавиши «&gt;&gt;», аналогично вводу пароля (рисунок 34). Диапазон адресов от 1 до 127, если вводится 0, то адрес устанавливается равным 1, если адрес больше 127, то он устанавливается равным 127.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598035" cy="3088005"/>
            <wp:effectExtent l="0" t="0" r="0" b="0"/>
            <wp:docPr id="43" name="Рисунок 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08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Рисунок 34 – Вид окна при вводе адреса </w:t>
      </w:r>
      <w:r>
        <w:rPr>
          <w:rFonts w:cs="Times New Roman" w:ascii="Times New Roman" w:hAnsi="Times New Roman"/>
          <w:sz w:val="24"/>
          <w:szCs w:val="24"/>
          <w:lang w:val="en-US"/>
        </w:rPr>
        <w:t>Modbus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i/>
          <w:i/>
          <w:iCs/>
          <w:sz w:val="24"/>
          <w:szCs w:val="24"/>
          <w:u w:val="single"/>
        </w:rPr>
      </w:pPr>
      <w:r>
        <w:rPr>
          <w:rFonts w:cs="Times New Roman" w:ascii="Times New Roman" w:hAnsi="Times New Roman"/>
          <w:i/>
          <w:iCs/>
          <w:sz w:val="24"/>
          <w:szCs w:val="24"/>
          <w:u w:val="single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Скорость.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помощи клавиш «&gt;&gt;» и «&lt;&lt;» выбирается требуемая скорость передачи данных из фиксированного списка: 4800, 9600, 14400, 19200, 38400 и 115200 бод. (рисунок 32, 33)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Контроль.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помощи клавиш «&gt;&gt;» и «&lt;&lt;» выдирается метод контроля правильности передачи байта: NO_PARITY (контроль отключен), EVEN_PARITY (контроль по четности) или ODD_PARITY (контроль по нечетности) (рисунок 32, 33).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Стоп-биты: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помощи клавиш «&gt;&gt;» и «&lt;&lt;» выбирается количество стоп-битов: 1 или 2 (рисунок 32, 33).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Уровень 4 мА.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Ввод уровня происходит при нажатии клавиши «&gt;&gt;», аналогично вводу пароля. Если в качестве единицы измерения указаны ррм (рисунок 35), то и уровень вводится в ррм, если проценты – то в процентах (рисунок 36).</w:t>
      </w:r>
    </w:p>
    <w:p>
      <w:pPr>
        <w:pStyle w:val="Normal"/>
        <w:spacing w:lineRule="auto" w:line="240" w:before="0"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260850" cy="2886710"/>
            <wp:effectExtent l="0" t="0" r="0" b="0"/>
            <wp:docPr id="44" name="Рисунок 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9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Рисунок 35 </w:t>
        <w:softHyphen/>
        <w:t>–</w:t>
      </w:r>
      <w:r>
        <w:rPr/>
        <w:t xml:space="preserve"> </w:t>
      </w:r>
      <w:bookmarkStart w:id="108" w:name="_Hlk100057984"/>
      <w:bookmarkStart w:id="109" w:name="_Hlk100057863"/>
      <w:r>
        <w:rPr>
          <w:rFonts w:cs="Times New Roman" w:ascii="Times New Roman" w:hAnsi="Times New Roman"/>
          <w:sz w:val="24"/>
          <w:szCs w:val="24"/>
        </w:rPr>
        <w:t xml:space="preserve">Ввод уровня 4 мА в </w:t>
      </w:r>
      <w:r>
        <w:rPr>
          <w:rFonts w:cs="Times New Roman" w:ascii="Times New Roman" w:hAnsi="Times New Roman"/>
          <w:sz w:val="24"/>
          <w:szCs w:val="24"/>
          <w:lang w:val="en-US"/>
        </w:rPr>
        <w:t>ppm</w:t>
      </w:r>
      <w:bookmarkEnd w:id="109"/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bookmarkEnd w:id="108"/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4572000" cy="3096895"/>
            <wp:effectExtent l="0" t="0" r="0" b="0"/>
            <wp:docPr id="45" name="Рисунок 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05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36 –</w:t>
      </w:r>
      <w:r>
        <w:rPr/>
        <w:t xml:space="preserve"> </w:t>
      </w:r>
      <w:r>
        <w:rPr>
          <w:rFonts w:cs="Times New Roman" w:ascii="Times New Roman" w:hAnsi="Times New Roman"/>
          <w:sz w:val="24"/>
          <w:szCs w:val="24"/>
        </w:rPr>
        <w:t>Ввод уровня 4 мА в %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Уровень 20 мА.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Ввод уровня происходит при нажатии клавиши «&gt;&gt;», аналогично вводу пароля. Если в качестве единицы измерения указаны ррм, то и уровень вводится в ррм (рисунок 37), если проценты – то в процентах (рисунок 38).</w:t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589145" cy="3070860"/>
            <wp:effectExtent l="0" t="0" r="0" b="0"/>
            <wp:docPr id="46" name="Рисунок 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06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Рисунок 37 – Ввод уровня 20 мА в </w:t>
      </w:r>
      <w:r>
        <w:rPr>
          <w:rFonts w:cs="Times New Roman" w:ascii="Times New Roman" w:hAnsi="Times New Roman"/>
          <w:sz w:val="24"/>
          <w:szCs w:val="24"/>
          <w:lang w:val="en-US"/>
        </w:rPr>
        <w:t>ppm</w:t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4606290" cy="3036570"/>
            <wp:effectExtent l="0" t="0" r="0" b="0"/>
            <wp:docPr id="47" name="Рисунок 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07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38 – Ввод уровня 20 мА в %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Значение содержания кислорода выводится по интерфейсу 4-20 мА следующим образом: если значение меньше или равно уровня 4 мА, то выводится 4 мА, если больше или равно 20 мА, то выводится 20 мА, если находится между уровнями, то выводится по формуле: </w:t>
      </w:r>
      <w:r>
        <w:rPr>
          <w:rFonts w:cs="Times New Roman" w:ascii="Times New Roman" w:hAnsi="Times New Roman"/>
          <w:sz w:val="24"/>
          <w:szCs w:val="24"/>
          <w:lang w:val="en-US"/>
        </w:rPr>
        <w:t>I</w:t>
      </w:r>
      <w:r>
        <w:rPr>
          <w:rFonts w:cs="Times New Roman" w:ascii="Times New Roman" w:hAnsi="Times New Roman"/>
          <w:sz w:val="24"/>
          <w:szCs w:val="24"/>
        </w:rPr>
        <w:t xml:space="preserve"> = 4 +12</w:t>
      </w:r>
      <w:r>
        <w:rPr>
          <w:rFonts w:cs="Times New Roman" w:ascii="Times New Roman" w:hAnsi="Times New Roman"/>
          <w:sz w:val="24"/>
          <w:szCs w:val="24"/>
          <w:lang w:val="en-US"/>
        </w:rPr>
        <w:t>X</w:t>
      </w:r>
      <w:r>
        <w:rPr>
          <w:rFonts w:cs="Times New Roman" w:ascii="Times New Roman" w:hAnsi="Times New Roman"/>
          <w:sz w:val="24"/>
          <w:szCs w:val="24"/>
        </w:rPr>
        <w:t xml:space="preserve"> (</w:t>
      </w:r>
      <w:r>
        <w:rPr>
          <w:rFonts w:cs="Times New Roman" w:ascii="Times New Roman" w:hAnsi="Times New Roman"/>
          <w:sz w:val="24"/>
          <w:szCs w:val="24"/>
          <w:lang w:val="en-US"/>
        </w:rPr>
        <w:t>C</w:t>
      </w:r>
      <w:r>
        <w:rPr>
          <w:rFonts w:cs="Times New Roman" w:ascii="Times New Roman" w:hAnsi="Times New Roman"/>
          <w:sz w:val="24"/>
          <w:szCs w:val="24"/>
        </w:rPr>
        <w:t xml:space="preserve"> - </w:t>
      </w:r>
      <w:r>
        <w:rPr>
          <w:rFonts w:cs="Times New Roman" w:ascii="Times New Roman" w:hAnsi="Times New Roman"/>
          <w:sz w:val="24"/>
          <w:szCs w:val="24"/>
          <w:lang w:val="en-US"/>
        </w:rPr>
        <w:t>U</w:t>
      </w:r>
      <w:r>
        <w:rPr>
          <w:rFonts w:cs="Times New Roman" w:ascii="Times New Roman" w:hAnsi="Times New Roman"/>
          <w:sz w:val="24"/>
          <w:szCs w:val="24"/>
        </w:rPr>
        <w:t>_4)/(</w:t>
      </w:r>
      <w:r>
        <w:rPr>
          <w:rFonts w:cs="Times New Roman" w:ascii="Times New Roman" w:hAnsi="Times New Roman"/>
          <w:sz w:val="24"/>
          <w:szCs w:val="24"/>
          <w:lang w:val="en-US"/>
        </w:rPr>
        <w:t>U</w:t>
      </w:r>
      <w:r>
        <w:rPr>
          <w:rFonts w:cs="Times New Roman" w:ascii="Times New Roman" w:hAnsi="Times New Roman"/>
          <w:sz w:val="24"/>
          <w:szCs w:val="24"/>
        </w:rPr>
        <w:t xml:space="preserve">_20 – </w:t>
      </w:r>
      <w:r>
        <w:rPr>
          <w:rFonts w:cs="Times New Roman" w:ascii="Times New Roman" w:hAnsi="Times New Roman"/>
          <w:sz w:val="24"/>
          <w:szCs w:val="24"/>
          <w:lang w:val="en-US"/>
        </w:rPr>
        <w:t>U</w:t>
      </w:r>
      <w:r>
        <w:rPr>
          <w:rFonts w:cs="Times New Roman" w:ascii="Times New Roman" w:hAnsi="Times New Roman"/>
          <w:sz w:val="24"/>
          <w:szCs w:val="24"/>
        </w:rPr>
        <w:t>_4).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Тест: для проверки интерфейса 4-20 мА.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входе в тестовый режим при помощи клавиш «&gt;&gt;» и «&lt;&lt;» изменяется число в строке режима в диапазоне 00, 04 – 20, т.е. невозможно набрать числа 01,02 или 03, число меняется с 00 до 04 и обратно. Если на экране 00 -тестовый режим отключен (рисунок 33)  и величина тока интерфейса 4-20 мА определяется концентрацией кислорода и уровнями 4 мА и 20 мА , в противном случае величина тока равна выставленному числу в мА (рисунок 32). При выходе из раздела меню тестовый режим сбрасывается автоматически.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Ввод новых настроек интерфейса происходит при нажатии клавиши «Ввод», при этом если какие-либо настройки были изменены, то следует предупреждение и после повторного нажатия клавиши «Ввод» записываются новые значения, которые вступают в силу немедленно.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Выход из режима происходит при нажатии клавиши «Возврат», но, если настройки были изменены, но не записаны, следует предупреждение и выход из режима происходит после повторного нажатия клавиши «Воврат» (рисунок 39).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607560" cy="3087370"/>
            <wp:effectExtent l="0" t="0" r="0" b="0"/>
            <wp:docPr id="48" name="Рисунок 1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25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39 – Вид окна «предупреждение о не записанных значений параметров»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2.5.5 Установка времени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нижней строке экрана выводятся текущее время и дата, если время не было установлено, или во время транспортировки было нарушение контакта батарейки, то время при включении прибора начинается с 00 часов 00 минут 1-го января 2021 года, архив при этом не ведется, т.к. реальные дата и время неизвестны.</w:t>
      </w:r>
    </w:p>
    <w:p>
      <w:pPr>
        <w:pStyle w:val="Normal"/>
        <w:spacing w:lineRule="auto" w:line="240" w:before="0" w:after="16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10" w:name="_Hlk100588513"/>
      <w:r>
        <w:rPr>
          <w:rFonts w:cs="Times New Roman" w:ascii="Times New Roman" w:hAnsi="Times New Roman"/>
          <w:sz w:val="24"/>
          <w:szCs w:val="24"/>
        </w:rPr>
        <w:t>Для установки времени/даты необходим пароль пользователя или администратора. Выбранная позиция отмечена зеленой полоской, переход между позициями осуществляется клавишами «Вверх» и «Вниз». Изменения значения в выбранной позиции осуществляется клавишами «Вправо» - увеличение на 1, и «Влево» - уменьшение на 1 (</w:t>
        <w:br/>
        <w:t xml:space="preserve">рисунок 40). Применение введенного времени/даты происходит после нажатия клавиши «Ввод» и последующего подтверждения действия (рисунок 41). </w:t>
      </w:r>
      <w:bookmarkEnd w:id="110"/>
      <w:r>
        <w:rPr>
          <w:rFonts w:cs="Times New Roman" w:ascii="Times New Roman" w:hAnsi="Times New Roman"/>
          <w:sz w:val="24"/>
          <w:szCs w:val="24"/>
        </w:rPr>
        <w:t xml:space="preserve">Выход из режима после нажатия клавиши «Возврат».  Все изменения в данном режиме возможны только после предварительного ввода пароля, в противном случае нажатие любой клавиши приводит к выходу из режима. </w:t>
      </w:r>
    </w:p>
    <w:p>
      <w:pPr>
        <w:pStyle w:val="Normal"/>
        <w:spacing w:lineRule="auto" w:line="240" w:before="0" w:after="160"/>
        <w:ind w:firstLine="14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412615" cy="2934970"/>
            <wp:effectExtent l="0" t="0" r="0" b="0"/>
            <wp:docPr id="49" name="Рисунок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68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14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40 – Вид окна при установке времени/даты</w:t>
      </w:r>
    </w:p>
    <w:p>
      <w:pPr>
        <w:pStyle w:val="Normal"/>
        <w:spacing w:lineRule="auto" w:line="240" w:before="0" w:after="160"/>
        <w:ind w:firstLine="14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14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572000" cy="3075940"/>
            <wp:effectExtent l="0" t="0" r="0" b="0"/>
            <wp:docPr id="50" name="Рисунок 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14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41 – Вид окна подтверждения установки времени/даты</w:t>
      </w:r>
    </w:p>
    <w:p>
      <w:pPr>
        <w:pStyle w:val="NormalWeb"/>
        <w:spacing w:before="280" w:after="280"/>
        <w:ind w:firstLine="567"/>
        <w:contextualSpacing/>
        <w:jc w:val="both"/>
        <w:rPr>
          <w:b/>
          <w:bCs/>
          <w:i/>
          <w:i/>
          <w:iCs/>
        </w:rPr>
      </w:pPr>
      <w:r>
        <w:rPr>
          <w:b/>
          <w:bCs/>
          <w:i/>
          <w:iCs/>
        </w:rPr>
        <w:t>2.5.6 «Калибровка».</w:t>
      </w:r>
    </w:p>
    <w:p>
      <w:pPr>
        <w:pStyle w:val="NormalWeb"/>
        <w:spacing w:before="280" w:after="280"/>
        <w:contextualSpacing/>
        <w:jc w:val="both"/>
        <w:rPr/>
      </w:pPr>
      <w:r>
        <w:rPr/>
      </w:r>
    </w:p>
    <w:p>
      <w:pPr>
        <w:pStyle w:val="NormalWeb"/>
        <w:spacing w:before="280" w:after="280"/>
        <w:ind w:firstLine="567"/>
        <w:contextualSpacing/>
        <w:jc w:val="both"/>
        <w:rPr>
          <w:i/>
          <w:i/>
          <w:iCs/>
        </w:rPr>
      </w:pPr>
      <w:r>
        <w:rPr>
          <w:i/>
          <w:iCs/>
        </w:rPr>
        <w:t>2.5.6.1 На рисунке 42 изображен вид окна, когда осуществлен вход в раздел «Калибровка».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Первое значение на дисплее </w:t>
      </w:r>
      <w:r>
        <w:rPr>
          <w:lang w:val="en-US"/>
        </w:rPr>
        <w:t>V</w:t>
      </w:r>
      <w:r>
        <w:rPr>
          <w:vertAlign w:val="subscript"/>
          <w:lang w:val="en-US"/>
        </w:rPr>
        <w:t>o</w:t>
      </w:r>
      <w:r>
        <w:rPr/>
        <w:t xml:space="preserve"> – это напряжение на аналого-цифровом преобразователе (АЦП) – 0-2500 мВ. Рядом выводится значение тока сенсора в микроамперах. Коэффициент пропорциональности между напряжением и током устанавливается при задании величины резистора обратной связи.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При проведении калибровки устанавливается коэффициент пропорциональности между концентрацией кислорода и током детектора.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Ip – рассчитанное значение удельного тока на 1 ррм при температуре 25 </w:t>
      </w:r>
      <w:r>
        <w:rPr>
          <w:vertAlign w:val="superscript"/>
        </w:rPr>
        <w:t>о</w:t>
      </w:r>
      <w:r>
        <w:rPr/>
        <w:t>С,  сделанное по результатам последней калибровки  (нА/ррм), Ibas – результат значения тока первой калибровки (сколько нА приходилось на 1 ppm во время первой калибровки данного сенсора).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При установке сенсора при выпуске прибора или замене сенсора на новый, величина максимального тока, полученная после первой калибровки, запоминается и считается базовой. При повторных калибровках величина максимального тока постоянно уменьшается вследствие деструкции сенсора, и коэффициент деструкции (Kd), определяемый как отношение текущего удельного тока к базовому, становится меньше 1.</w:t>
      </w:r>
    </w:p>
    <w:p>
      <w:pPr>
        <w:pStyle w:val="NormalWeb"/>
        <w:spacing w:before="280" w:after="280"/>
        <w:ind w:firstLine="567"/>
        <w:contextualSpacing/>
        <w:jc w:val="both"/>
        <w:rPr>
          <w:i/>
          <w:i/>
          <w:iCs/>
        </w:rPr>
      </w:pPr>
      <w:r>
        <w:rPr>
          <w:i/>
          <w:iCs/>
        </w:rPr>
        <w:t>Критерий: если Кд &lt;0,5, то детектор утратил работоспособность и нуждается в замене.</w:t>
      </w:r>
      <w:r>
        <w:rPr/>
        <w:t xml:space="preserve"> </w:t>
      </w:r>
      <w:r>
        <w:rPr>
          <w:i/>
          <w:iCs/>
        </w:rPr>
        <w:t>При этом фиксируется ошибка 01h и в окне индикации появляется буква D.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Далее следуют две строки, которые представляют собой основное меню калибровки.  Переход между пунктами меню осуществляется клавишами «Вверх» и «Вниз». Выход из меню клавишей «Возврат»; выбор пункта меню клавишей «Вправо». 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Нижнее значение – концентрация, которая соответствует калибровочной смеси ГСО ПГС или генератора ГГС.</w:t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drawing>
          <wp:inline distT="0" distB="0" distL="0" distR="0">
            <wp:extent cx="4612640" cy="3123565"/>
            <wp:effectExtent l="0" t="0" r="0" b="0"/>
            <wp:docPr id="51" name="Рисунок 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75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t>Рисунок 42 – Вид окна «Калибровка»</w:t>
      </w:r>
    </w:p>
    <w:p>
      <w:pPr>
        <w:pStyle w:val="NormalWeb"/>
        <w:spacing w:before="280" w:after="280"/>
        <w:ind w:firstLine="567"/>
        <w:contextualSpacing/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Web"/>
        <w:spacing w:before="280" w:after="280"/>
        <w:ind w:firstLine="567"/>
        <w:contextualSpacing/>
        <w:jc w:val="both"/>
        <w:rPr>
          <w:i/>
          <w:i/>
          <w:iCs/>
        </w:rPr>
      </w:pPr>
      <w:r>
        <w:rPr>
          <w:i/>
          <w:iCs/>
        </w:rPr>
        <w:t>2.5.6.2 Проведение калибровки.</w:t>
      </w:r>
      <w:r>
        <w:rPr/>
        <w:tab/>
      </w:r>
    </w:p>
    <w:p>
      <w:pPr>
        <w:pStyle w:val="NormalWeb"/>
        <w:spacing w:before="280" w:after="280"/>
        <w:ind w:firstLine="567"/>
        <w:contextualSpacing/>
        <w:jc w:val="both"/>
        <w:rPr>
          <w:i/>
          <w:i/>
          <w:iCs/>
        </w:rPr>
      </w:pPr>
      <w:r>
        <w:rPr>
          <w:i/>
          <w:iCs/>
        </w:rPr>
        <w:t xml:space="preserve"> </w:t>
      </w:r>
      <w:r>
        <w:rPr>
          <w:i/>
          <w:iCs/>
        </w:rPr>
        <w:t>Калибровка анализатора.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Калибровка анализатора в исполнении 1 по ПГС производится вручную, в исполнении 2 – как ручная, так и автоматическая.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Калибровка должна проводиться после продувки и стабилизации показаний.  Калибровку рекомендуется проводить раз в 2 недели, а также перед проведением поверки анализатора и после замены ЭХД кислорода. Для калибровки рекомендуется использовать ПГС с концентрацией кислорода около 80% от верхнего предела диапазона измерений.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При калибровке: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1 Вводится концентрация калибровочной смеси ГСО ПГС, содержащейся в баллоне или задаваемой генератором ГГС. Концентрация вводится в тех единицах, в каких измеряется кислород: процент или ppm. После нажатия клавиши «Вправо» в строке «Концентрация» на экране появляется окно для ввода концентрации тестовой смеси, которое изображено на рисунках 43 и 44.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bookmarkStart w:id="111" w:name="_Hlk99359005"/>
      <w:r>
        <w:rPr/>
        <w:t xml:space="preserve">Ввод происходит также, как и ввод пароля: выбранный символ выделяется инверсией, перемещение выделенного с помощью клавиш «Вправо» и «Влево», изменение символа клавишами «Вверх» и «Вниз», завершение ввода клавиша «Ввод». </w:t>
      </w:r>
      <w:bookmarkEnd w:id="111"/>
    </w:p>
    <w:p>
      <w:pPr>
        <w:pStyle w:val="NormalWeb"/>
        <w:spacing w:before="280" w:after="280"/>
        <w:contextualSpacing/>
        <w:rPr/>
      </w:pPr>
      <w:r>
        <w:rPr/>
      </w:r>
    </w:p>
    <w:p>
      <w:pPr>
        <w:pStyle w:val="NormalWeb"/>
        <w:spacing w:before="280" w:after="280"/>
        <w:ind w:firstLine="284"/>
        <w:contextualSpacing/>
        <w:jc w:val="center"/>
        <w:rPr/>
      </w:pPr>
      <w:r>
        <w:rPr/>
        <w:drawing>
          <wp:inline distT="0" distB="0" distL="0" distR="0">
            <wp:extent cx="4629150" cy="3095625"/>
            <wp:effectExtent l="0" t="0" r="0" b="0"/>
            <wp:docPr id="52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ind w:firstLine="284"/>
        <w:contextualSpacing/>
        <w:jc w:val="center"/>
        <w:rPr/>
      </w:pPr>
      <w:r>
        <w:rPr/>
        <w:t>Рисунок 43 – Ввод концентрации тестовой смеси в «</w:t>
      </w:r>
      <w:r>
        <w:rPr>
          <w:lang w:val="en-US"/>
        </w:rPr>
        <w:t>ppm</w:t>
      </w:r>
      <w:r>
        <w:rPr/>
        <w:t>»</w:t>
      </w:r>
    </w:p>
    <w:p>
      <w:pPr>
        <w:pStyle w:val="NormalWeb"/>
        <w:spacing w:before="280" w:after="280"/>
        <w:ind w:firstLine="284"/>
        <w:contextualSpacing/>
        <w:jc w:val="center"/>
        <w:rPr/>
      </w:pPr>
      <w:r>
        <w:rPr/>
      </w:r>
    </w:p>
    <w:p>
      <w:pPr>
        <w:pStyle w:val="NormalWeb"/>
        <w:spacing w:before="280" w:after="280"/>
        <w:ind w:firstLine="284"/>
        <w:contextualSpacing/>
        <w:jc w:val="center"/>
        <w:rPr/>
      </w:pPr>
      <w:r>
        <w:rPr/>
        <w:drawing>
          <wp:inline distT="0" distB="0" distL="0" distR="0">
            <wp:extent cx="4619625" cy="3105150"/>
            <wp:effectExtent l="0" t="0" r="0" b="0"/>
            <wp:docPr id="53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ind w:firstLine="709"/>
        <w:contextualSpacing/>
        <w:jc w:val="center"/>
        <w:rPr/>
      </w:pPr>
      <w:r>
        <w:rPr/>
        <w:t>Рисунок 44 – Ввод концентрации тестовой смеси в «%»</w:t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  <w:t>2 Продувка.</w:t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  <w:t xml:space="preserve">После подтверждения новых значений тестовой смеси и нажатии клавиши «Вправо» начинается калибровка. </w:t>
      </w:r>
      <w:r>
        <w:rPr>
          <w:i/>
        </w:rPr>
        <w:t>В случае исполнения 2, сначала отключается поток от измеряемого канала и затем подключается поток газа от баллона с тестовой смесью. Это подключение сохраняется вплоть до выхода из раздела меню «Калибровка».</w:t>
      </w:r>
      <w:r>
        <w:rPr/>
        <w:t xml:space="preserve"> Затем начинается продувка, которая длится заданный промежуток времени (рисунок 45).</w:t>
      </w:r>
    </w:p>
    <w:p>
      <w:pPr>
        <w:pStyle w:val="NormalWeb"/>
        <w:tabs>
          <w:tab w:val="left" w:pos="709" w:leader="none"/>
        </w:tabs>
        <w:spacing w:before="280" w:after="280"/>
        <w:contextualSpacing/>
        <w:rPr/>
      </w:pPr>
      <w:r>
        <w:rPr/>
      </w:r>
    </w:p>
    <w:p>
      <w:pPr>
        <w:pStyle w:val="NormalWeb"/>
        <w:tabs>
          <w:tab w:val="left" w:pos="709" w:leader="none"/>
        </w:tabs>
        <w:spacing w:before="280" w:after="280"/>
        <w:ind w:firstLine="142"/>
        <w:contextualSpacing/>
        <w:jc w:val="center"/>
        <w:rPr>
          <w:lang w:val="en-US"/>
        </w:rPr>
      </w:pPr>
      <w:r>
        <w:rPr/>
        <w:drawing>
          <wp:inline distT="0" distB="0" distL="0" distR="0">
            <wp:extent cx="4581525" cy="3095625"/>
            <wp:effectExtent l="0" t="0" r="0" b="0"/>
            <wp:docPr id="54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center"/>
        <w:rPr/>
      </w:pPr>
      <w:r>
        <w:rPr/>
        <w:t xml:space="preserve">Рисунок 45 – Процедура «Продувка» перед началом измерения с заданным промежутком времени </w:t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  <w:t>3 Производится измерение, которое суммируется в течение заданного периода и выводится среднее значение за период измерения. Измеренное значение выводится на экран в строке «Измерение» (рисунок 46).</w:t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  <w:t xml:space="preserve">Если во время продувки или измерения была нажата клавиша «Возврат», то процесс калибровки прекращается. В случае нажатия клавиши «Ввод» процедура продувки или измерения завершается досрочно, при этом усредненные значения измерения рассчитываются также, как и при нормальном завершении процедуры. 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562475" cy="3105150"/>
            <wp:effectExtent l="0" t="0" r="0" b="0"/>
            <wp:docPr id="55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bookmarkStart w:id="112" w:name="_Hlk101168548"/>
      <w:r>
        <w:rPr>
          <w:rFonts w:cs="Times New Roman" w:ascii="Times New Roman" w:hAnsi="Times New Roman"/>
          <w:sz w:val="24"/>
          <w:szCs w:val="24"/>
        </w:rPr>
        <w:t>Рисунок 46 – Процедура «Измерение»</w:t>
      </w:r>
      <w:bookmarkEnd w:id="112"/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Обновленные данные калибровки будет применены после нажатия клавиши «Ввод», при этом на экране появляется предупредительная надпись «После нажатия клавиши «Ввод» будут установлены новые данные калибровки» (рисунок 47).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Выход из режима после нажатия клавиши «Возврат».  Все изменения в данном режиме возможны только после предварительного ввода пароля, в противном случае нажатие любой клавиши приводит к выходу из режима (рисунок 48).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spacing w:before="280" w:after="280"/>
        <w:contextualSpacing/>
        <w:jc w:val="center"/>
        <w:rPr/>
      </w:pPr>
      <w:r>
        <w:rPr/>
        <w:drawing>
          <wp:inline distT="0" distB="0" distL="0" distR="0">
            <wp:extent cx="4589780" cy="3069590"/>
            <wp:effectExtent l="0" t="0" r="0" b="0"/>
            <wp:docPr id="56" name="Рисунок 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12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center"/>
        <w:rPr/>
      </w:pPr>
      <w:r>
        <w:rPr/>
        <w:t>Рисунок 47 – Вид окна подтверждения новых значений калибровки</w:t>
      </w:r>
    </w:p>
    <w:p>
      <w:pPr>
        <w:pStyle w:val="NormalWeb"/>
        <w:tabs>
          <w:tab w:val="left" w:pos="709" w:leader="none"/>
        </w:tabs>
        <w:spacing w:before="280" w:after="280"/>
        <w:contextualSpacing/>
        <w:jc w:val="center"/>
        <w:rPr/>
      </w:pPr>
      <w:r>
        <w:rPr/>
      </w:r>
    </w:p>
    <w:p>
      <w:pPr>
        <w:pStyle w:val="NormalWeb"/>
        <w:tabs>
          <w:tab w:val="left" w:pos="709" w:leader="none"/>
        </w:tabs>
        <w:spacing w:before="280" w:after="280"/>
        <w:contextualSpacing/>
        <w:jc w:val="center"/>
        <w:rPr>
          <w:lang w:val="en-US"/>
        </w:rPr>
      </w:pPr>
      <w:r>
        <w:rPr/>
        <w:drawing>
          <wp:inline distT="0" distB="0" distL="0" distR="0">
            <wp:extent cx="4584065" cy="3087370"/>
            <wp:effectExtent l="0" t="0" r="0" b="0"/>
            <wp:docPr id="57" name="Рисунок 1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23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tabs>
          <w:tab w:val="left" w:pos="709" w:leader="none"/>
        </w:tabs>
        <w:spacing w:before="280" w:after="280"/>
        <w:contextualSpacing/>
        <w:jc w:val="center"/>
        <w:rPr/>
      </w:pPr>
      <w:r>
        <w:rPr/>
        <w:t>Рисунок 48 – Вид окна подтверждения выхода</w:t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  <w:t>Выход из режима происходит после нажатия клавиши «Возврат». Если была произведена калибровка или изменен состав калибровочной смеси, но новые данные не били записаны, то при выходе из режима следует предупреждение, и выход происходит после повторного ввода клавиши «Возврат».</w:t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  <w:t xml:space="preserve">После того как была проведена калибровка и подтверждены результаты, в памяти прибора запоминаются состав калибровочной смеси, среднее значение напряжения сенсора и среднее значение температуры. Также запоминается значение </w:t>
      </w:r>
      <w:r>
        <w:rPr>
          <w:lang w:val="en-US"/>
        </w:rPr>
        <w:t>Ip</w:t>
      </w:r>
      <w:r>
        <w:rPr/>
        <w:t xml:space="preserve">. Этот параметр рассчитывается при каждой последующей калибровке. Отдельно запоминается </w:t>
      </w:r>
      <w:r>
        <w:rPr>
          <w:lang w:val="en-US"/>
        </w:rPr>
        <w:t>Ibas</w:t>
      </w:r>
      <w:r>
        <w:rPr/>
        <w:t xml:space="preserve"> – это </w:t>
      </w:r>
      <w:r>
        <w:rPr>
          <w:lang w:val="en-US"/>
        </w:rPr>
        <w:t>Ip</w:t>
      </w:r>
      <w:r>
        <w:rPr/>
        <w:t xml:space="preserve">, который показал сенсор во время первой калибровки. С помощью параметра </w:t>
      </w:r>
      <w:r>
        <w:rPr>
          <w:lang w:val="en-US"/>
        </w:rPr>
        <w:t>Ibas</w:t>
      </w:r>
      <w:r>
        <w:rPr/>
        <w:t xml:space="preserve"> рассчитывается </w:t>
      </w:r>
      <w:r>
        <w:rPr>
          <w:lang w:val="en-US"/>
        </w:rPr>
        <w:t>Kd</w:t>
      </w:r>
      <w:r>
        <w:rPr/>
        <w:t xml:space="preserve">.  </w:t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  <w:t xml:space="preserve">Таким образом, если калибровка была первой после смены сенсора, то необходимо установать </w:t>
      </w:r>
      <w:r>
        <w:rPr>
          <w:lang w:val="en-US"/>
        </w:rPr>
        <w:t>Ibas</w:t>
      </w:r>
      <w:r>
        <w:rPr/>
        <w:t xml:space="preserve">, для чего необходимо выйти на соответствующую строку меню, нажать клавишу «Вправо» и подтвердить действие нажав клавишу «Ввод» (рисунок 49). </w:t>
      </w:r>
    </w:p>
    <w:p>
      <w:pPr>
        <w:pStyle w:val="NormalWeb"/>
        <w:tabs>
          <w:tab w:val="left" w:pos="709" w:leader="none"/>
        </w:tabs>
        <w:spacing w:before="280" w:after="280"/>
        <w:contextualSpacing/>
        <w:jc w:val="both"/>
        <w:rPr/>
      </w:pPr>
      <w:r>
        <w:rPr/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drawing>
          <wp:inline distT="0" distB="0" distL="0" distR="0">
            <wp:extent cx="4476750" cy="3014980"/>
            <wp:effectExtent l="0" t="0" r="0" b="0"/>
            <wp:docPr id="58" name="Рисунок 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13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>Рисунок 49 – Вид окна подтверждения текущей калибровки как базовой</w:t>
      </w:r>
    </w:p>
    <w:p>
      <w:pPr>
        <w:pStyle w:val="NormalWeb"/>
        <w:tabs>
          <w:tab w:val="left" w:pos="709" w:leader="none"/>
        </w:tabs>
        <w:spacing w:before="280" w:after="280"/>
        <w:contextualSpacing/>
        <w:jc w:val="both"/>
        <w:rPr/>
      </w:pPr>
      <w:r>
        <w:rPr/>
      </w:r>
    </w:p>
    <w:p>
      <w:pPr>
        <w:pStyle w:val="Normal"/>
        <w:spacing w:lineRule="auto" w:line="240" w:before="0" w:after="160"/>
        <w:ind w:firstLine="567"/>
        <w:contextualSpacing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2.5.7 Настройки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При вводе пароля администратора в главном меню появляется пункт «Настройки» (рисунок 50).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591050" cy="3057525"/>
            <wp:effectExtent l="0" t="0" r="0" b="0"/>
            <wp:docPr id="59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50 – Вид окна после ввода пароля администратора в пункте «Настройки»</w:t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</w:rPr>
        <w:t>2.5.7.1</w:t>
      </w: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  <w:u w:val="single"/>
        </w:rPr>
        <w:t xml:space="preserve"> Нуль</w:t>
      </w: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</w:rPr>
        <w:t>:</w:t>
      </w:r>
      <w:r>
        <w:rPr>
          <w:rFonts w:eastAsia="" w:cs="" w:ascii="Times New Roman" w:hAnsi="Times New Roman" w:cstheme="majorBidi" w:eastAsiaTheme="majorEastAsia"/>
          <w:sz w:val="24"/>
          <w:szCs w:val="26"/>
        </w:rPr>
        <w:t xml:space="preserve"> 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>В данном разделе вводятся показания аналого-цифрового показателя (АЦП) без вычитания нулевой составляющей и коррекции по температуре. В это время через сенсор продувается газ с нулевым содержанием кислорода (гелий марки А), в показаниях АЦП отображается нулевая составляющая сигнала. Так же, как и при калибровке, при нажатии кнопки «Вправо», происходит продувка сенсора и набор данных (рисунок 51 и 52). При нажатии клавиши «Ввод» данный сигнал записывается в память контроллера и в дальнейшем вычитается из показаний сенсора.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калибровке нуля запоминается уровень сигнала при нулевом содержании кислорода (</w:t>
      </w:r>
      <w:r>
        <w:rPr>
          <w:rFonts w:cs="Times New Roman" w:ascii="Times New Roman" w:hAnsi="Times New Roman"/>
          <w:sz w:val="24"/>
          <w:szCs w:val="24"/>
          <w:lang w:val="en-US"/>
        </w:rPr>
        <w:t>Vo</w:t>
      </w:r>
      <w:r>
        <w:rPr>
          <w:rFonts w:cs="Times New Roman" w:ascii="Times New Roman" w:hAnsi="Times New Roman"/>
          <w:sz w:val="24"/>
          <w:szCs w:val="24"/>
        </w:rPr>
        <w:t xml:space="preserve">, мВ). </w:t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drawing>
          <wp:inline distT="0" distB="0" distL="0" distR="0">
            <wp:extent cx="4591050" cy="3086100"/>
            <wp:effectExtent l="0" t="0" r="0" b="0"/>
            <wp:docPr id="60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ind w:firstLine="567"/>
        <w:contextualSpacing/>
        <w:jc w:val="center"/>
        <w:rPr>
          <w:color w:val="000000" w:themeColor="text1"/>
        </w:rPr>
      </w:pPr>
      <w:bookmarkStart w:id="113" w:name="_Hlk99358651"/>
      <w:r>
        <w:rPr>
          <w:color w:val="000000" w:themeColor="text1"/>
        </w:rPr>
        <w:t>Рисунок 51 – Процедура «Продувка» перед началом измерения</w:t>
      </w:r>
      <w:bookmarkEnd w:id="113"/>
      <w:r>
        <w:rPr>
          <w:color w:val="000000" w:themeColor="text1"/>
        </w:rPr>
        <w:t>.</w:t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drawing>
          <wp:inline distT="0" distB="0" distL="0" distR="0">
            <wp:extent cx="4619625" cy="3095625"/>
            <wp:effectExtent l="0" t="0" r="0" b="0"/>
            <wp:docPr id="61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ind w:firstLine="567"/>
        <w:contextualSpacing/>
        <w:jc w:val="center"/>
        <w:rPr/>
      </w:pPr>
      <w:r>
        <w:rPr/>
        <w:t>Рисунок 52 – Процедура «Измерение»</w:t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</w:r>
    </w:p>
    <w:p>
      <w:pPr>
        <w:pStyle w:val="NormalWeb"/>
        <w:tabs>
          <w:tab w:val="left" w:pos="709" w:leader="none"/>
        </w:tabs>
        <w:spacing w:before="280" w:after="280"/>
        <w:ind w:firstLine="567"/>
        <w:contextualSpacing/>
        <w:jc w:val="both"/>
        <w:rPr/>
      </w:pPr>
      <w:r>
        <w:rPr/>
        <w:t xml:space="preserve">Если во время продувки или измерения была нажата клавиша «Возврат», то процесс установки прекращается. В случае нажатия клавиши «Ввод» процедура продувки или измерения завершается досрочно, при этом усредненные значения измерения рассчитываются также, как и при нормальном завершении процедуры. 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</w:rPr>
        <w:t>2.5.7.2</w:t>
      </w:r>
      <w:r>
        <w:rPr>
          <w:rFonts w:eastAsia="" w:cs="" w:ascii="Times New Roman" w:hAnsi="Times New Roman" w:cstheme="majorBidi" w:eastAsiaTheme="majorEastAsia"/>
          <w:sz w:val="24"/>
          <w:szCs w:val="26"/>
        </w:rPr>
        <w:t xml:space="preserve"> </w:t>
      </w: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  <w:u w:val="single"/>
        </w:rPr>
        <w:t>Мин. поток:</w:t>
      </w:r>
      <w:r>
        <w:rPr>
          <w:rFonts w:eastAsia="" w:cs="" w:ascii="Times New Roman" w:hAnsi="Times New Roman" w:cstheme="majorBidi" w:eastAsiaTheme="majorEastAsia"/>
          <w:sz w:val="24"/>
          <w:szCs w:val="26"/>
        </w:rPr>
        <w:t xml:space="preserve"> вводится минимальное значение потока газа (мл/мин), продуваемого через сенсор. Если поток меньше заданной величины, то фиксируется ошибка в регистре состояния.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</w:rPr>
        <w:t>2.5.7.3</w:t>
      </w: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  <w:u w:val="single"/>
        </w:rPr>
        <w:t xml:space="preserve"> Порог:</w:t>
      </w:r>
      <w:r>
        <w:rPr>
          <w:rFonts w:eastAsia="" w:cs="" w:ascii="Times New Roman" w:hAnsi="Times New Roman" w:cstheme="majorBidi" w:eastAsiaTheme="majorEastAsia"/>
          <w:sz w:val="24"/>
          <w:szCs w:val="26"/>
        </w:rPr>
        <w:t xml:space="preserve"> вводится значение порога в «</w:t>
      </w:r>
      <w:r>
        <w:rPr>
          <w:rFonts w:eastAsia="" w:cs="" w:ascii="Times New Roman" w:hAnsi="Times New Roman" w:cstheme="majorBidi" w:eastAsiaTheme="majorEastAsia"/>
          <w:sz w:val="24"/>
          <w:szCs w:val="26"/>
          <w:lang w:val="en-US"/>
        </w:rPr>
        <w:t>ppm</w:t>
      </w:r>
      <w:r>
        <w:rPr>
          <w:rFonts w:eastAsia="" w:cs="" w:ascii="Times New Roman" w:hAnsi="Times New Roman" w:cstheme="majorBidi" w:eastAsiaTheme="majorEastAsia"/>
          <w:sz w:val="24"/>
          <w:szCs w:val="26"/>
        </w:rPr>
        <w:t>» или «%» содержания кислорода, превышение которого вызывает появление соответствующего бита в регистре состояния. Ввод происходит также, как и ввод пароля: выбранный символ выделяется инверсией, перемещение выделенного с помощью клавиш «Вправо» и «Влево», изменение символа клавишами «Вверх» и «Вниз», завершение ввода клавиша «Ввод» (рисунок 53 и 54).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cstheme="majorBidi" w:eastAsiaTheme="majorEastAsia" w:ascii="Times New Roman" w:hAnsi="Times New Roman"/>
          <w:sz w:val="24"/>
          <w:szCs w:val="26"/>
        </w:rPr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/>
        <w:drawing>
          <wp:inline distT="0" distB="0" distL="0" distR="0">
            <wp:extent cx="4610100" cy="3105150"/>
            <wp:effectExtent l="0" t="0" r="0" b="0"/>
            <wp:docPr id="62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>Рисунок 53 – Вид окна при вводе пороговой концентрации в «</w:t>
      </w:r>
      <w:r>
        <w:rPr>
          <w:rFonts w:eastAsia="" w:cs="" w:ascii="Times New Roman" w:hAnsi="Times New Roman" w:cstheme="majorBidi" w:eastAsiaTheme="majorEastAsia"/>
          <w:sz w:val="24"/>
          <w:szCs w:val="26"/>
          <w:lang w:val="en-US"/>
        </w:rPr>
        <w:t>ppm</w:t>
      </w:r>
      <w:r>
        <w:rPr>
          <w:rFonts w:eastAsia="" w:cs="" w:ascii="Times New Roman" w:hAnsi="Times New Roman" w:cstheme="majorBidi" w:eastAsiaTheme="majorEastAsia"/>
          <w:sz w:val="24"/>
          <w:szCs w:val="26"/>
        </w:rPr>
        <w:t xml:space="preserve">» </w:t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cstheme="majorBidi" w:eastAsiaTheme="majorEastAsia" w:ascii="Times New Roman" w:hAnsi="Times New Roman"/>
          <w:sz w:val="24"/>
          <w:szCs w:val="26"/>
        </w:rPr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/>
        <w:drawing>
          <wp:inline distT="0" distB="0" distL="0" distR="0">
            <wp:extent cx="4610100" cy="3057525"/>
            <wp:effectExtent l="0" t="0" r="0" b="0"/>
            <wp:docPr id="63" name="Рисунок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50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>Рисунок 54 – Вид окна при вводе пороговой концентрации в «%»</w:t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cstheme="majorBidi" w:eastAsiaTheme="majorEastAsia" w:ascii="Times New Roman" w:hAnsi="Times New Roman"/>
          <w:sz w:val="24"/>
          <w:szCs w:val="26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</w:rPr>
        <w:t xml:space="preserve">2.5.7.4 </w:t>
      </w: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  <w:u w:val="single"/>
        </w:rPr>
        <w:t>Измеритель расхода</w:t>
      </w:r>
      <w:r>
        <w:rPr>
          <w:rFonts w:eastAsia="" w:cs="" w:ascii="Times New Roman" w:hAnsi="Times New Roman" w:cstheme="majorBidi" w:eastAsiaTheme="majorEastAsia"/>
          <w:sz w:val="24"/>
          <w:szCs w:val="26"/>
          <w:u w:val="single"/>
        </w:rPr>
        <w:t>:</w:t>
      </w:r>
      <w:r>
        <w:rPr>
          <w:rFonts w:eastAsia="" w:cs="" w:ascii="Times New Roman" w:hAnsi="Times New Roman" w:cstheme="majorBidi" w:eastAsiaTheme="majorEastAsia"/>
          <w:sz w:val="24"/>
          <w:szCs w:val="26"/>
        </w:rPr>
        <w:t xml:space="preserve"> включение или выключение измерителя расхода осуществляется клавишами «Влево», «Вправо» (рисунок 55 и 56).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>Для сохранения введенных значений следует нажать клавишу «Ввод» и подтвердить после соответствующего запроса (рисунок 57).</w:t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/>
        <w:drawing>
          <wp:inline distT="0" distB="0" distL="0" distR="0">
            <wp:extent cx="4591050" cy="3057525"/>
            <wp:effectExtent l="0" t="0" r="0" b="0"/>
            <wp:docPr id="64" name="Рисунок 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80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>Рисунок 55 – Вид окна при отключенном измерителе расхода</w:t>
      </w:r>
    </w:p>
    <w:p>
      <w:pPr>
        <w:pStyle w:val="Normal"/>
        <w:spacing w:lineRule="auto" w:line="240" w:before="0" w:after="160"/>
        <w:contextualSpacing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cstheme="majorBidi" w:eastAsiaTheme="majorEastAsia" w:ascii="Times New Roman" w:hAnsi="Times New Roman"/>
          <w:sz w:val="24"/>
          <w:szCs w:val="26"/>
        </w:rPr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/>
        <w:drawing>
          <wp:inline distT="0" distB="0" distL="0" distR="0">
            <wp:extent cx="4508500" cy="2987040"/>
            <wp:effectExtent l="0" t="0" r="0" b="0"/>
            <wp:docPr id="65" name="Рисунок 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85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>Рисунок 56 – Вид окна при включенном измерителе расхода</w:t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cstheme="majorBidi" w:eastAsiaTheme="majorEastAsia" w:ascii="Times New Roman" w:hAnsi="Times New Roman"/>
          <w:sz w:val="24"/>
          <w:szCs w:val="26"/>
        </w:rPr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i/>
          <w:i/>
          <w:iCs/>
          <w:sz w:val="24"/>
          <w:szCs w:val="26"/>
        </w:rPr>
      </w:pPr>
      <w:r>
        <w:rPr/>
        <w:drawing>
          <wp:inline distT="0" distB="0" distL="0" distR="0">
            <wp:extent cx="4445000" cy="2971165"/>
            <wp:effectExtent l="0" t="0" r="0" b="0"/>
            <wp:docPr id="66" name="Рисунок 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16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 xml:space="preserve">Рисунок 57 </w:t>
        <w:softHyphen/>
        <w:t>– Вид окна подтверждения новых значений настроек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cstheme="majorBidi" w:eastAsiaTheme="majorEastAsia" w:ascii="Times New Roman" w:hAnsi="Times New Roman"/>
          <w:sz w:val="24"/>
          <w:szCs w:val="26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>Выход из режима после нажатия клавиши «Возврат».  Все изменения в данном режиме возможны только после предварительного ввода пароля, в противном случае нажатие любой клавиши приводит к выходу из режима (рисунок 58).</w:t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i/>
          <w:i/>
          <w:iCs/>
          <w:sz w:val="24"/>
          <w:szCs w:val="26"/>
        </w:rPr>
      </w:pPr>
      <w:r>
        <w:rPr/>
        <w:drawing>
          <wp:inline distT="0" distB="0" distL="0" distR="0">
            <wp:extent cx="4584065" cy="3069590"/>
            <wp:effectExtent l="0" t="0" r="0" b="0"/>
            <wp:docPr id="67" name="Рисунок 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24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>Рисунок 58 – Вид окна «предупреждение о не записанных значений параметров»</w:t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eastAsia="" w:cs="" w:cstheme="majorBidi" w:eastAsiaTheme="majorEastAsia"/>
          <w:i/>
          <w:i/>
          <w:iCs/>
          <w:sz w:val="24"/>
          <w:szCs w:val="26"/>
        </w:rPr>
      </w:pPr>
      <w:r>
        <w:rPr>
          <w:rFonts w:eastAsia="" w:cs="" w:cstheme="majorBidi" w:eastAsiaTheme="majorEastAsia" w:ascii="Times New Roman" w:hAnsi="Times New Roman"/>
          <w:i/>
          <w:iCs/>
          <w:sz w:val="24"/>
          <w:szCs w:val="26"/>
        </w:rPr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</w:rPr>
        <w:t>2.5.7.6</w:t>
      </w: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  <w:u w:val="single"/>
        </w:rPr>
        <w:t xml:space="preserve"> Дополнительно</w:t>
      </w:r>
      <w:r>
        <w:rPr>
          <w:rFonts w:eastAsia="" w:cs="" w:ascii="Times New Roman" w:hAnsi="Times New Roman" w:cstheme="majorBidi" w:eastAsiaTheme="majorEastAsia"/>
          <w:i/>
          <w:iCs/>
          <w:sz w:val="24"/>
          <w:szCs w:val="26"/>
        </w:rPr>
        <w:t>:</w:t>
      </w:r>
      <w:r>
        <w:rPr>
          <w:rFonts w:eastAsia="" w:cs="" w:ascii="Times New Roman" w:hAnsi="Times New Roman" w:cstheme="majorBidi" w:eastAsiaTheme="majorEastAsia"/>
          <w:sz w:val="24"/>
          <w:szCs w:val="26"/>
        </w:rPr>
        <w:t xml:space="preserve"> переход в закладку дополнительных функций настроек.</w:t>
      </w:r>
    </w:p>
    <w:p>
      <w:pPr>
        <w:pStyle w:val="Normal"/>
        <w:ind w:firstLine="567"/>
        <w:jc w:val="both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>Подменю «Дополнительно» (рисунок 59).</w:t>
      </w:r>
    </w:p>
    <w:p>
      <w:pPr>
        <w:pStyle w:val="Normal"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/>
        <w:drawing>
          <wp:inline distT="0" distB="0" distL="0" distR="0">
            <wp:extent cx="4581525" cy="3105150"/>
            <wp:effectExtent l="0" t="0" r="0" b="0"/>
            <wp:docPr id="68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eastAsia="" w:cs="" w:cstheme="majorBidi" w:eastAsiaTheme="majorEastAsia"/>
          <w:sz w:val="24"/>
          <w:szCs w:val="26"/>
        </w:rPr>
      </w:pPr>
      <w:r>
        <w:rPr>
          <w:rFonts w:eastAsia="" w:cs="" w:ascii="Times New Roman" w:hAnsi="Times New Roman" w:cstheme="majorBidi" w:eastAsiaTheme="majorEastAsia"/>
          <w:sz w:val="24"/>
          <w:szCs w:val="26"/>
        </w:rPr>
        <w:t>Рисунок 59 – Вид окна подменю «Дополнительно»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u w:val="single"/>
          <w:lang w:eastAsia="ru-RU"/>
        </w:rPr>
        <w:t>Экран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: устанавливается время в минутах (если не нажимать клавиши в течение заданного времени, то экран переходит в режим основного окна). Если данное значение равно 0, то данная функция отключается).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u w:val="single"/>
          <w:lang w:eastAsia="ru-RU"/>
        </w:rPr>
        <w:t>Продувка, измерение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: время в минутах, в течение которого происходит продувка и усреднение значений при калибровки и уставке нуля.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Ввод значений происходит при нажатии клавиши «&gt;&gt;», аналогично вводу пароля (рисунки 60,61).</w:t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4581525" cy="3086100"/>
            <wp:effectExtent l="0" t="0" r="0" b="0"/>
            <wp:docPr id="69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Рисунок 60 – Ввод времени продувки в минутах</w:t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  <w:r>
        <w:rPr/>
        <w:drawing>
          <wp:inline distT="0" distB="0" distL="0" distR="0">
            <wp:extent cx="4619625" cy="3133725"/>
            <wp:effectExtent l="0" t="0" r="0" b="0"/>
            <wp:docPr id="70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Рисунок 61 – Ввод времени измерения в минутах</w:t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u w:val="single"/>
          <w:lang w:eastAsia="ru-RU"/>
        </w:rPr>
        <w:t>Установка R (сопротивление):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контроллер снабжен программируемым сопротивлением обратной связи, который определяет чувствительность преобразователя тока в напряжение. При изменении установки R от 0 до 255, сопротивление обратной связи меняется от 1 до 5 кОм, соответственно меняется чувствительность анализатора.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Устанавливаются постоянная и переменная составляющие резистора обратной связи.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Ввод переменной составляющей изображен на рисунке 62.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4606290" cy="3044825"/>
            <wp:effectExtent l="0" t="0" r="0" b="0"/>
            <wp:docPr id="71" name="Рисунок 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109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Рисунок 62 – Ввод переменной составляющей в килоомах</w:t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u w:val="single"/>
          <w:lang w:eastAsia="ru-RU"/>
        </w:rPr>
        <w:t>Ед. измерения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: при нажатии клавиши вправо меняется единица измерения (% - </w:t>
      </w:r>
      <w:r>
        <w:rPr>
          <w:rFonts w:eastAsia="Times New Roman" w:cs="Times New Roman" w:ascii="Times New Roman" w:hAnsi="Times New Roman"/>
          <w:sz w:val="24"/>
          <w:szCs w:val="24"/>
          <w:lang w:val="en-US" w:eastAsia="ru-RU"/>
        </w:rPr>
        <w:t>ppm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2.5.7.7 В случае исполнения 2 в меню «Настройки» после подменю «Дополнительно» добавляется пункт «Расписание» (рисунок 63). В нем можно просмотреть и отредактировать время/дату и периодичность проведения автоматической калибровки после ввода пароля «Пользователь» или «Администратор» (рисунок 64).</w:t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  <w:drawing>
          <wp:inline distT="0" distB="0" distL="0" distR="0">
            <wp:extent cx="4629150" cy="3067050"/>
            <wp:effectExtent l="0" t="0" r="0" b="0"/>
            <wp:docPr id="72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Рисунок 63 – Вид окна «Настройки» с пунктом «Расписание» в исполнении 2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4600575" cy="3105150"/>
            <wp:effectExtent l="0" t="0" r="0" b="0"/>
            <wp:docPr id="73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64 – Вид окна пункта «Расписание»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Автоматическая калибровка происходит после того, как будет превышено указанное время, причем только в том случае, если прибор находится в режиме индикации.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Сразу после начала проведения калибровки время/дата увеличивается на указанное в строке «Период» количество дней. Если в данной строке установлен нуль, то режим автоматической калибровки отключен.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 строке «Газ-разбавитель» перебором указывается основной газ тестовой смеси, возможные значения: «Азот», «Метан», «Водород», «Гелий» и «Отключен». В последнем случае, при калибровке не производится анализ на достаточность потока газа через сенсор, иначе при падении уровня потока ниже порогового значения процесс калибровки немедленно прекращается. 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последней строке режима задается номер (</w:t>
      </w:r>
      <w:r>
        <w:rPr>
          <w:rFonts w:cs="Times New Roman" w:ascii="Times New Roman" w:hAnsi="Times New Roman"/>
          <w:sz w:val="24"/>
          <w:szCs w:val="24"/>
          <w:lang w:val="en-US"/>
        </w:rPr>
        <w:t>N</w:t>
      </w:r>
      <w:r>
        <w:rPr>
          <w:rFonts w:cs="Times New Roman" w:ascii="Times New Roman" w:hAnsi="Times New Roman"/>
          <w:sz w:val="24"/>
          <w:szCs w:val="24"/>
        </w:rPr>
        <w:t>) канала измерения, эта строка появляется в меню только в том случае, если прибор исполнения 2 с двумя каналами измерения.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Автоматическая калибровка происходит также как и ручная, за исключением надписи вверху экрана (рисунок 65).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4581525" cy="3152775"/>
            <wp:effectExtent l="0" t="0" r="0" b="0"/>
            <wp:docPr id="74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65 – Вид окна при «Автоматической калибровке» в исполнении 2</w:t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Также как и в ручном режиме, калибровку можно остановить, нажав клавишу «Возврат», при этом текущий сеанс калибровки будет пропущен. Пользователю можно также в любое время провести калибровку в ручном режиме, при этом время/дата следующей автоматической калибровки не изменится.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2.5.8 «Архив».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2.5.8.1 Архив ведется только в том случае, если установлены время и дата.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Во время работы постоянно вычисляется среднее значение концентрации кислорода, и если в течении часа прибор был включен, то в архиве появляется запись. В записи хранятся дата и среднее значение концентрации за каждый час, когда был включен прибор. Для создания записи необходимо чтобы прибор был включен по крайней мере один час, иначе записи за эти сутки не будет.</w:t>
      </w:r>
      <w:r>
        <w:rPr/>
        <w:t xml:space="preserve"> </w:t>
      </w:r>
      <w:r>
        <w:rPr>
          <w:rFonts w:cs="Times New Roman" w:ascii="Times New Roman" w:hAnsi="Times New Roman"/>
          <w:sz w:val="24"/>
          <w:szCs w:val="24"/>
        </w:rPr>
        <w:t>Также в записи присутствуют сведения о наличии ошибок, связанных с аварией датчика температуры (02h и 04h), а также деградацией сенсора (01h). При наличии этих ошибок данные недостоверны. Максимальное количество записей в архиве 512, в случае переполнения старые записи стираются.</w:t>
      </w:r>
    </w:p>
    <w:p>
      <w:pPr>
        <w:pStyle w:val="Normal"/>
        <w:spacing w:lineRule="auto" w:line="240" w:before="0"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Просмотр записей архива доступен всем. Стереть архив может только администратор. </w:t>
      </w:r>
    </w:p>
    <w:p>
      <w:pPr>
        <w:pStyle w:val="Normal"/>
        <w:spacing w:lineRule="auto" w:line="240" w:before="0"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Данные архива: время, дата, код события, код ошибки.</w:t>
      </w:r>
    </w:p>
    <w:p>
      <w:pPr>
        <w:pStyle w:val="Normal"/>
        <w:spacing w:lineRule="auto" w:line="240" w:before="0"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Хранится средняя за каждый час из суток, при условии, что прибор был включен. </w:t>
      </w:r>
    </w:p>
    <w:p>
      <w:pPr>
        <w:pStyle w:val="Normal"/>
        <w:spacing w:lineRule="auto" w:line="240" w:before="0"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Данные непрерывно хранятся в течение всего года. При переполнении более старая запись удаляется. </w:t>
      </w:r>
    </w:p>
    <w:p>
      <w:pPr>
        <w:pStyle w:val="Normal"/>
        <w:spacing w:lineRule="auto" w:line="240" w:before="0"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Поиск данных осуществляется вводом даты записи либо по номеру записи. 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 рисунке 66 изображен вид окна раздела архива в режиме наблюдателя или пользователя.</w:t>
      </w:r>
    </w:p>
    <w:p>
      <w:pPr>
        <w:pStyle w:val="Normal"/>
        <w:spacing w:lineRule="auto" w:line="240" w:before="0" w:after="16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572000" cy="3038475"/>
            <wp:effectExtent l="0" t="0" r="0" b="0"/>
            <wp:docPr id="75" name="Рисунок 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87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66 – Вид окна в режиме пользователя или наблюдателя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 рисунке 67 изображен вид окна раздела архива в режиме администратора после ввода пароля администратора.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562475" cy="3105150"/>
            <wp:effectExtent l="0" t="0" r="0" b="0"/>
            <wp:docPr id="76" name="Рисунок 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88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67 – Вид окна в режиме администратора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2.5.8.2 Во время вывода данных на экран индицируются дата создания записи, ее порядковый номер и количество записей в архиве. После чего следует таблица из 4-х строк, в каждой из которых выводятся данные за 6 часов. Если прибор в течение какого-либо часа был выключен хотя бы на секунду, то вместо данных появляется прочерк (рисунок 69).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610100" cy="3105150"/>
            <wp:effectExtent l="0" t="0" r="0" b="0"/>
            <wp:docPr id="77" name="Рисунок 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90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Рисунок 68 – Вид окна в разделе «Данные»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Если архив пуст, например после стирания, то возникает сообщение «Данных нет» (рисунок 69).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572000" cy="3087370"/>
            <wp:effectExtent l="0" t="0" r="0" b="0"/>
            <wp:docPr id="78" name="Рисунок 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119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69 – Вид окна при отсутствии данных в архиве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16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2.5.8.3 При входе в режим индицируется последняя по дате запись, очевидно соответствующая текущей дате. С помощью клавиш «Вверх» и «Вниз» можно листать архив, также можно искать нужную запись по номеру или дате создания.</w:t>
      </w:r>
    </w:p>
    <w:p>
      <w:pPr>
        <w:pStyle w:val="Normal"/>
        <w:spacing w:lineRule="auto" w:line="240" w:before="0" w:after="16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Выбранная позиция (день, месяц, год) в поиске по дате отмечается зеленой полоской, переход между позициями осуществляется клавишами «Вверх» и «Вниз». Изменения значения в выбранной позиции осуществляется клавишами «Вправо» - увеличение на 1, и «Влево» - уменьшение на 1 (рисунок 70). </w:t>
      </w:r>
    </w:p>
    <w:p>
      <w:pPr>
        <w:pStyle w:val="Normal"/>
        <w:spacing w:lineRule="auto" w:line="240" w:before="0" w:after="16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625340" cy="3061970"/>
            <wp:effectExtent l="0" t="0" r="0" b="0"/>
            <wp:docPr id="79" name="Рисунок 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91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Рисунок 70 – Поиск данных по дате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Поиск по номеру происходит также, как и ввод пароля: выбранный символ выделяется инверсией, перемещение выделенного с помощью клавиш «Вправо» и «Влево», изменение символа клавишами «Вверх» и «Вниз», завершение ввода клавиша «Ввод» (рисунок 71). 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4580890" cy="3053715"/>
            <wp:effectExtent l="0" t="0" r="0" b="0"/>
            <wp:docPr id="80" name="Рисунок 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110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71 – Поиск данных по номеру записи</w:t>
      </w:r>
    </w:p>
    <w:p>
      <w:pPr>
        <w:pStyle w:val="Normal"/>
        <w:spacing w:lineRule="auto" w:line="240" w:before="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2.5.8.4 Просмотр </w:t>
      </w:r>
      <w:r>
        <w:rPr>
          <w:rFonts w:cs="Times New Roman" w:ascii="Times New Roman" w:hAnsi="Times New Roman"/>
          <w:i/>
          <w:iCs/>
          <w:sz w:val="24"/>
          <w:szCs w:val="24"/>
        </w:rPr>
        <w:t>архива ошибок</w:t>
      </w:r>
      <w:r>
        <w:rPr>
          <w:rFonts w:cs="Times New Roman" w:ascii="Times New Roman" w:hAnsi="Times New Roman"/>
          <w:sz w:val="24"/>
          <w:szCs w:val="24"/>
        </w:rPr>
        <w:t xml:space="preserve"> осуществляется также как и данных, но в этом случае выводится код ошибок: 0 – ошибок нет, 1 – деградация сенсора, 2 – авария термодатчика, 3 – и деградация сенсора и авария термодатчика (рисунок 72).</w:t>
      </w:r>
    </w:p>
    <w:p>
      <w:pPr>
        <w:pStyle w:val="Normal"/>
        <w:spacing w:lineRule="auto" w:line="240" w:before="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610100" cy="3076575"/>
            <wp:effectExtent l="0" t="0" r="0" b="0"/>
            <wp:docPr id="81" name="Рисунок 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9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Рисунок 72 – Просмотр архива ошибок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2.5.8.5 Включение</w:t>
      </w:r>
      <w:r>
        <w:rPr>
          <w:rFonts w:cs="Times New Roman" w:ascii="Times New Roman" w:hAnsi="Times New Roman"/>
        </w:rPr>
        <w:t>. Запоминаются время и дата включения и выключения прибора. Всего возможны 32 записи, при переполнении – старые записи стираются (рисунок 73).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589780" cy="3075940"/>
            <wp:effectExtent l="0" t="0" r="0" b="0"/>
            <wp:docPr id="82" name="Рисунок 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122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48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Рисунок 73 – Архив – «Включение»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2.5.8.6 События</w:t>
      </w:r>
      <w:r>
        <w:rPr>
          <w:rFonts w:cs="Times New Roman" w:ascii="Times New Roman" w:hAnsi="Times New Roman"/>
        </w:rPr>
        <w:t>. Запоминаются время и дата наступления того или иного события, также запоминаются номер события и байт состояния, в котором хранятся коды ошибок, т.к. многие события связаны с появлением или устранением ошибок (рисунок 74).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Номера событий: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00 – изменился байт состояния (появилась или была устранена ошибка).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01 – проведена калибровка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02 – установка времени и даты с клавиатуры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03 – установка времени и даты через Modbus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04 – установка интерфейсов с клавиатуры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05 – стирание архива, в этом случае в архиве событий остается единственная запись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06 – установка Ibas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07 – установка интерфейсов через Modbus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08 – запись настроек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09 – запись дополнительных параметров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328795" cy="2902585"/>
            <wp:effectExtent l="0" t="0" r="0" b="0"/>
            <wp:docPr id="83" name="Рисунок 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121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Рисунок 74 – Архив – «События»</w:t>
      </w:r>
    </w:p>
    <w:p>
      <w:pPr>
        <w:pStyle w:val="Normal"/>
        <w:spacing w:lineRule="auto" w:line="240" w:before="0"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2.5.8.7 Вид окна после ввода пароля администратора при подтверждении </w:t>
      </w:r>
      <w:r>
        <w:rPr>
          <w:rFonts w:cs="Times New Roman" w:ascii="Times New Roman" w:hAnsi="Times New Roman"/>
          <w:i/>
          <w:iCs/>
          <w:sz w:val="24"/>
          <w:szCs w:val="24"/>
        </w:rPr>
        <w:t>«Стереть»</w:t>
      </w:r>
      <w:r>
        <w:rPr>
          <w:rFonts w:cs="Times New Roman" w:ascii="Times New Roman" w:hAnsi="Times New Roman"/>
          <w:sz w:val="24"/>
          <w:szCs w:val="24"/>
        </w:rPr>
        <w:t xml:space="preserve"> изображен на рисунке 75. </w:t>
      </w:r>
    </w:p>
    <w:p>
      <w:pPr>
        <w:pStyle w:val="Normal"/>
        <w:spacing w:lineRule="auto" w:line="240" w:before="0"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262120" cy="2886710"/>
            <wp:effectExtent l="0" t="0" r="0" b="0"/>
            <wp:docPr id="84" name="Рисунок 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117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Рисунок 75 – Архив – «Стереть»</w:t>
      </w:r>
      <w:r>
        <w:br w:type="page"/>
      </w:r>
    </w:p>
    <w:p>
      <w:pPr>
        <w:pStyle w:val="1"/>
        <w:spacing w:lineRule="auto" w:line="240" w:before="240" w:after="0"/>
        <w:ind w:left="993" w:hanging="426"/>
        <w:contextualSpacing/>
        <w:jc w:val="both"/>
        <w:rPr/>
      </w:pPr>
      <w:bookmarkStart w:id="114" w:name="_Toc101279250"/>
      <w:r>
        <w:rPr/>
        <w:t>3 Поверка анализатора</w:t>
      </w:r>
      <w:bookmarkEnd w:id="114"/>
    </w:p>
    <w:p>
      <w:pPr>
        <w:pStyle w:val="NormalWeb"/>
        <w:spacing w:before="280" w:after="280"/>
        <w:ind w:firstLine="567"/>
        <w:contextualSpacing/>
        <w:jc w:val="both"/>
        <w:rPr>
          <w:color w:val="000000"/>
        </w:rPr>
      </w:pPr>
      <w:r>
        <w:rPr>
          <w:color w:val="000000"/>
        </w:rPr>
        <w:t>Первичную и периодическую поверку анализаторов ХРОМОС О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проводят в соответствии с методикой поверки, утвержденной ФГУП «ВНИИМ им. Менделеева», г. Санкт-Петербург    </w:t>
      </w:r>
      <w:r>
        <w:rPr>
          <w:color w:val="000000" w:themeColor="text1"/>
          <w:u w:val="single"/>
        </w:rPr>
        <w:t xml:space="preserve">                          .</w:t>
      </w:r>
      <w:r>
        <w:rPr>
          <w:color w:val="000000" w:themeColor="text1"/>
        </w:rPr>
        <w:t xml:space="preserve">202_ </w:t>
      </w:r>
      <w:r>
        <w:rPr>
          <w:color w:val="000000"/>
        </w:rPr>
        <w:t>года.</w:t>
      </w:r>
    </w:p>
    <w:p>
      <w:pPr>
        <w:pStyle w:val="NormalWeb"/>
        <w:spacing w:before="280" w:after="280"/>
        <w:ind w:firstLine="567"/>
        <w:contextualSpacing/>
        <w:jc w:val="both"/>
        <w:rPr>
          <w:color w:val="000000"/>
        </w:rPr>
      </w:pPr>
      <w:r>
        <w:rPr>
          <w:color w:val="000000"/>
        </w:rPr>
        <w:t>Интервал между поверками – 1 год.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  <w:r>
        <w:br w:type="page"/>
      </w:r>
    </w:p>
    <w:p>
      <w:pPr>
        <w:pStyle w:val="1"/>
        <w:ind w:firstLine="567"/>
        <w:rPr/>
      </w:pPr>
      <w:bookmarkStart w:id="115" w:name="_Toc101279251"/>
      <w:r>
        <w:rPr/>
        <w:t>4 Технические обслуживание</w:t>
      </w:r>
      <w:bookmarkEnd w:id="115"/>
    </w:p>
    <w:p>
      <w:pPr>
        <w:pStyle w:val="NormalWeb"/>
        <w:spacing w:before="280" w:after="280"/>
        <w:ind w:firstLine="567"/>
        <w:contextualSpacing/>
        <w:jc w:val="both"/>
        <w:rPr>
          <w:b/>
        </w:rPr>
      </w:pPr>
      <w:r>
        <w:rPr>
          <w:b/>
        </w:rPr>
        <w:t xml:space="preserve">Подготовка к ТО </w:t>
      </w:r>
    </w:p>
    <w:p>
      <w:pPr>
        <w:pStyle w:val="NormalWeb"/>
        <w:spacing w:before="280" w:after="280"/>
        <w:ind w:firstLine="567"/>
        <w:contextualSpacing/>
        <w:jc w:val="both"/>
        <w:rPr>
          <w:i/>
          <w:i/>
        </w:rPr>
      </w:pPr>
      <w:r>
        <w:rPr>
          <w:bCs/>
          <w:i/>
        </w:rPr>
        <w:t xml:space="preserve">ВНИМАНИЕ!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Перед проведением технического обслуживания анализатора убедитесь, что электропитание отключено. После отключения питания нужно выждать 60 мин.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Перед техническим обслуживанием подача газа должна быть прекращена.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Если техническое обслуживание было связано с демонтажем трубок или ослаблением фитингов, то перед включением прибора следует проверить соединения на герметичность. </w:t>
      </w:r>
    </w:p>
    <w:p>
      <w:pPr>
        <w:pStyle w:val="NormalWeb"/>
        <w:spacing w:before="280" w:after="280"/>
        <w:ind w:firstLine="567"/>
        <w:contextualSpacing/>
        <w:jc w:val="both"/>
        <w:rPr>
          <w:b/>
          <w:bCs/>
          <w:i/>
          <w:i/>
          <w:iCs/>
        </w:rPr>
      </w:pPr>
      <w:r>
        <w:rPr>
          <w:b/>
          <w:bCs/>
          <w:i/>
          <w:iCs/>
        </w:rPr>
        <w:t xml:space="preserve">4.1 Порядок проведения ТО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Техническое обслуживание анализатора заключается в периодической проверке технического состояния и метрологической поверке. Техническое обслуживание анализатора должно осуществляться специалистами предприятия изготовителя или авторизированного сервисного центра, либо инженерно-техническим персоналом эксплуатирующей организации, прошедшим специализированное обучение в соответствии с действующими «Правилами технической эксплуатации электроустановок потребителей» (ПТЭ), «Правилами техники безопасности электроустановок потребителей» (ПТБ), «Правилами устройства электроустановок» (ПУЭ гл.7.3 и др.). Техническое обслуживание, связанное со вскрытием пломб, выполняется только специалистами предприятия-изготовителя или авторизированного сервисного центра. </w:t>
      </w:r>
    </w:p>
    <w:p>
      <w:pPr>
        <w:pStyle w:val="NormalWeb"/>
        <w:spacing w:before="280" w:after="280"/>
        <w:ind w:firstLine="567"/>
        <w:contextualSpacing/>
        <w:jc w:val="both"/>
        <w:rPr>
          <w:b/>
          <w:bCs/>
          <w:i/>
          <w:i/>
          <w:iCs/>
        </w:rPr>
      </w:pPr>
      <w:r>
        <w:rPr>
          <w:b/>
          <w:bCs/>
          <w:i/>
          <w:iCs/>
        </w:rPr>
        <w:t xml:space="preserve">4.2 Содержание ТО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Метрологические характеристики анализаторов в течение межповерочного интервала соответствуют установленным нормам при условии соблюдения потребителем правил хранения, транспортирования и эксплуатации, указанных в настоящем Руководстве по эксплуатации. Виды и периодичность технического обслуживания приведены в таблице 4. </w:t>
      </w:r>
    </w:p>
    <w:p>
      <w:pPr>
        <w:pStyle w:val="NormalWeb"/>
        <w:spacing w:before="280" w:after="280"/>
        <w:contextualSpacing/>
        <w:jc w:val="both"/>
        <w:rPr/>
      </w:pPr>
      <w:r>
        <w:rPr/>
        <w:t>Таблица 4. Виды технического обслуживания анализатора</w:t>
      </w:r>
    </w:p>
    <w:tbl>
      <w:tblPr>
        <w:tblStyle w:val="a8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948"/>
        <w:gridCol w:w="3395"/>
      </w:tblGrid>
      <w:tr>
        <w:trPr/>
        <w:tc>
          <w:tcPr>
            <w:tcW w:w="5948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contextualSpacing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Виды технического обслуживания </w:t>
            </w:r>
          </w:p>
        </w:tc>
        <w:tc>
          <w:tcPr>
            <w:tcW w:w="3395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contextualSpacing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Периодичность </w:t>
            </w:r>
          </w:p>
        </w:tc>
      </w:tr>
      <w:tr>
        <w:trPr/>
        <w:tc>
          <w:tcPr>
            <w:tcW w:w="5948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contextualSpacing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Повседневный уход </w:t>
            </w:r>
          </w:p>
        </w:tc>
        <w:tc>
          <w:tcPr>
            <w:tcW w:w="3395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contextualSpacing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Каждый день</w:t>
            </w:r>
          </w:p>
        </w:tc>
      </w:tr>
      <w:tr>
        <w:trPr/>
        <w:tc>
          <w:tcPr>
            <w:tcW w:w="5948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contextualSpacing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Периодический контроль технического состояния </w:t>
            </w:r>
          </w:p>
        </w:tc>
        <w:tc>
          <w:tcPr>
            <w:tcW w:w="3395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contextualSpacing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Не реже одного раза в квартал</w:t>
            </w:r>
          </w:p>
        </w:tc>
      </w:tr>
      <w:tr>
        <w:trPr/>
        <w:tc>
          <w:tcPr>
            <w:tcW w:w="5948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contextualSpacing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Подготовка к проведению метрологической поверки </w:t>
            </w:r>
          </w:p>
        </w:tc>
        <w:tc>
          <w:tcPr>
            <w:tcW w:w="3395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contextualSpacing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Не реже одного раза в год</w:t>
            </w:r>
          </w:p>
        </w:tc>
      </w:tr>
    </w:tbl>
    <w:p>
      <w:pPr>
        <w:pStyle w:val="NormalWeb"/>
        <w:spacing w:before="280" w:after="280"/>
        <w:ind w:firstLine="567"/>
        <w:contextualSpacing/>
        <w:jc w:val="both"/>
        <w:rPr>
          <w:i/>
          <w:i/>
          <w:iCs/>
        </w:rPr>
      </w:pPr>
      <w:r>
        <w:rPr>
          <w:i/>
          <w:iCs/>
        </w:rPr>
        <w:t>4.2.1 Повседневный уход за анализатором.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К повседневному уходу относится периодическое (1 раз в сутки) наблюдение за работой анализатора. Необходимо следить за: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 </w:t>
      </w:r>
      <w:r>
        <w:rPr/>
        <w:t xml:space="preserve">температурой окружающего воздуха в месте расположения анализатора;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расходом и давлением анализируемого газа (по встроенным датчикам анализатора);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отсутствием аварий анализатора (по данным ПО «Окси-Т»). </w:t>
      </w:r>
    </w:p>
    <w:p>
      <w:pPr>
        <w:pStyle w:val="NormalWeb"/>
        <w:spacing w:before="280" w:after="280"/>
        <w:ind w:firstLine="567"/>
        <w:contextualSpacing/>
        <w:jc w:val="both"/>
        <w:rPr>
          <w:i/>
          <w:i/>
          <w:iCs/>
        </w:rPr>
      </w:pPr>
      <w:r>
        <w:rPr>
          <w:i/>
          <w:iCs/>
        </w:rPr>
        <w:t xml:space="preserve">4.2.2 Периодический контроль технического состояния анализатора.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Находящийся в эксплуатации анализатор нуждается в периодическом контроле технического состояния, который состоит из следующих мероприятий: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соблюдения условий эксплуатации;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– </w:t>
      </w:r>
      <w:r>
        <w:rPr/>
        <w:t xml:space="preserve">проверка сохранности наклеек и пломб на анализаторе, предупредительных надписей и маркировки взрывозащиты;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чистоты наружных поверхностей прибора;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герметичности присоединений анализатора к трубопроводу;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отсутствия внешних повреждений;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электрических подключений;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проведение контрольного анализа.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Осмотр производится с периодичностью, определяющейся эксплуатирующей организацией, совместно с организацией, ведущей техническое обслуживание объекта, на котором установлен анализатор, но не реже 1 раза в квартал. </w:t>
      </w:r>
    </w:p>
    <w:p>
      <w:pPr>
        <w:pStyle w:val="NormalWeb"/>
        <w:spacing w:before="280" w:after="280"/>
        <w:ind w:firstLine="567"/>
        <w:contextualSpacing/>
        <w:jc w:val="both"/>
        <w:rPr>
          <w:i/>
          <w:i/>
          <w:iCs/>
        </w:rPr>
      </w:pPr>
      <w:r>
        <w:rPr>
          <w:i/>
          <w:iCs/>
        </w:rPr>
        <w:t>4.2.3 Подготовка к метрологической поверке анализатора.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С периодичностью 1 раз в год необходимо проводить поверку анализатора в соответствии с Методикой поверки.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Подготовка анализатора к ежегодной метрологической поверке состоит из следующих мероприятий: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вводных устройств, уплотнения, качества заземления;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– </w:t>
      </w:r>
      <w:r>
        <w:rPr/>
        <w:t xml:space="preserve">проверка предупредительных надписей, маркировки по взрывозащите и ее соответствие классу помещения и взрывоопасной среде;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целостности резьбовых соединений и наличия всех крепежных элементов взрывонепроницаемых оболочек;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отсутствия повреждений поверхностей, обеспечивающих взрывозащиту (при обнаружении дефектов, раковин, рисок, а также увеличении зазоров более допустимых по ГОСТ IEC60079-1-2011анализатор к дальнейшей эксплуатации не допускается, после осмотра анализатор, не имеющий дефектов, закрывается);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герметичности газовых линий анализатора;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настройки требуемых расходов анализируемого газа;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настроек режимов работы прибора;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работоспособности электромагнитных клапанов;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проверка правильности расчета метрологических характеристик;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– </w:t>
      </w:r>
      <w:r>
        <w:rPr/>
        <w:t xml:space="preserve">проверка чистоты фильтра механических примесей анализируемого газа и его замена при необходимости;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– </w:t>
      </w:r>
      <w:r>
        <w:rPr/>
        <w:t xml:space="preserve">замена электрохимического датчика (ЭХД) анализатора; </w:t>
      </w:r>
    </w:p>
    <w:p>
      <w:pPr>
        <w:pStyle w:val="NormalWeb"/>
        <w:spacing w:before="280" w:after="280"/>
        <w:ind w:firstLine="567"/>
        <w:contextualSpacing/>
        <w:jc w:val="both"/>
        <w:rPr>
          <w:b/>
          <w:bCs/>
          <w:i/>
          <w:i/>
          <w:iCs/>
        </w:rPr>
      </w:pPr>
      <w:r>
        <w:rPr>
          <w:b/>
          <w:bCs/>
          <w:i/>
          <w:iCs/>
        </w:rPr>
        <w:t>4.3 Замена электрохимического датчика (ЭХД).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Согласно рекомендациям изготовителя, срок хранения и эксплуатации ЭХД с момента выпуска обычно составляет не более 18 месяцев. Поэтому рекомендуется заменять ЭХД при подготовке анализатора к поверке. Для замены ЭХД необходимо: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а) отвинтить крышку взрывозащищенной коробки газоанализатора (рис.1);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б) отвинтить 4 винта крышки термостата, снять крышку (рис.2);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в) открутить крышку корпуса ЭХД,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д) заменить ЭХД;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е) провести сборку в обратном порядке; 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ж) </w:t>
      </w:r>
      <w:r>
        <w:rPr>
          <w:bCs/>
        </w:rPr>
        <w:t>сразу после замены ЭХД необходимо поставить анализатор на продувку</w:t>
      </w:r>
      <w:r>
        <w:rPr>
          <w:b/>
          <w:bCs/>
        </w:rPr>
        <w:t xml:space="preserve"> </w:t>
      </w:r>
      <w:r>
        <w:rPr/>
        <w:t>нулевым газом (при замене сенсора на месте установки допускается использовать для продувки природный газ, если содержание кислорода в нем менее 20 рр</w:t>
      </w:r>
      <w:r>
        <w:rPr>
          <w:lang w:val="en-US"/>
        </w:rPr>
        <w:t>m</w:t>
      </w:r>
      <w:r>
        <w:rPr/>
        <w:t xml:space="preserve">). </w:t>
      </w:r>
    </w:p>
    <w:p>
      <w:pPr>
        <w:pStyle w:val="NormalWeb"/>
        <w:spacing w:before="280" w:after="280"/>
        <w:ind w:firstLine="567"/>
        <w:contextualSpacing/>
        <w:jc w:val="both"/>
        <w:rPr>
          <w:i/>
          <w:i/>
        </w:rPr>
      </w:pPr>
      <w:r>
        <w:rPr>
          <w:bCs/>
          <w:i/>
        </w:rPr>
        <w:t xml:space="preserve">ВНИМАНИЕ! </w:t>
      </w:r>
    </w:p>
    <w:p>
      <w:pPr>
        <w:pStyle w:val="NormalWeb"/>
        <w:spacing w:before="280" w:after="280"/>
        <w:ind w:firstLine="567"/>
        <w:contextualSpacing/>
        <w:jc w:val="both"/>
        <w:rPr>
          <w:b/>
          <w:bCs/>
          <w:i/>
          <w:i/>
          <w:iCs/>
        </w:rPr>
      </w:pPr>
      <w:r>
        <w:rPr>
          <w:b/>
          <w:bCs/>
          <w:i/>
          <w:iCs/>
        </w:rPr>
        <w:t>Процесс продувки и выхода на режим после замены сенсора может занимать более 24 часов и прямо зависит от времени, в течении которого ЭХД находился на воздухе без заводской упаковки. Калибровку анализатора рекомендуется выполнить не ранее чем через 6 часов после замены.</w:t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4"/>
          <w:lang w:eastAsia="ru-RU"/>
        </w:rPr>
      </w:r>
      <w:r>
        <w:br w:type="page"/>
      </w:r>
    </w:p>
    <w:p>
      <w:pPr>
        <w:pStyle w:val="1"/>
        <w:spacing w:lineRule="auto" w:line="240"/>
        <w:ind w:left="709" w:hanging="142"/>
        <w:jc w:val="both"/>
        <w:rPr/>
      </w:pPr>
      <w:bookmarkStart w:id="116" w:name="_Toc101279252"/>
      <w:r>
        <w:rPr/>
        <w:t>5 Возможные неисправности и методы их устранения</w:t>
      </w:r>
      <w:bookmarkEnd w:id="116"/>
    </w:p>
    <w:p>
      <w:pPr>
        <w:pStyle w:val="NormalWeb"/>
        <w:spacing w:before="0" w:after="280"/>
        <w:ind w:firstLine="567"/>
        <w:contextualSpacing/>
        <w:jc w:val="both"/>
        <w:rPr/>
      </w:pPr>
      <w:r>
        <mc:AlternateContent>
          <mc:Choice Requires="wps">
            <w:drawing>
              <wp:anchor behindDoc="0" distT="0" distB="17145" distL="107315" distR="120015" simplePos="0" locked="0" layoutInCell="0" allowOverlap="1" relativeHeight="87" wp14:anchorId="677659F1">
                <wp:simplePos x="0" y="0"/>
                <wp:positionH relativeFrom="column">
                  <wp:posOffset>2701925</wp:posOffset>
                </wp:positionH>
                <wp:positionV relativeFrom="paragraph">
                  <wp:posOffset>578485</wp:posOffset>
                </wp:positionV>
                <wp:extent cx="83185" cy="88900"/>
                <wp:effectExtent l="6985" t="6985" r="6350" b="6985"/>
                <wp:wrapSquare wrapText="bothSides"/>
                <wp:docPr id="85" name="Овал 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60" cy="8892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92" path="l-2147483648,-2147483643l-2147483628,-2147483627l-2147483648,-2147483643l-2147483626,-2147483625xe" fillcolor="black" stroked="t" o:allowincell="f" style="position:absolute;margin-left:212.75pt;margin-top:45.55pt;width:6.5pt;height:6.95pt;mso-wrap-style:none;v-text-anchor:middle" wp14:anchorId="677659F1">
                <v:fill o:detectmouseclick="t" type="solid" color2="white"/>
                <v:stroke color="black" weight="12600" joinstyle="miter" endcap="flat"/>
                <w10:wrap type="square"/>
              </v:oval>
            </w:pict>
          </mc:Fallback>
        </mc:AlternateContent>
      </w:r>
      <w:r>
        <w:rPr/>
        <w:t>Мелкие неисправности, являющиеся функциональными сбоями в работе аппаратуры, автоматически отслеживаются программой «Окси-Т» и отображаются на экране анализатора в виде мигающего значка с указанием кода ошибок в 16-ричной системе, что означает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При обнаружении ошибки программа «Окси-Т» продолжает передавать данные внешнему компьютеру через интерфейс </w:t>
      </w:r>
      <w:r>
        <w:rPr>
          <w:bCs/>
        </w:rPr>
        <w:t>передачи данных,</w:t>
      </w:r>
      <w:r>
        <w:rPr/>
        <w:t xml:space="preserve"> но сопровождает их статусным сигналом, позволяющим отбраковывать такие данные при их последующей обработке.</w:t>
      </w:r>
    </w:p>
    <w:p>
      <w:pPr>
        <w:pStyle w:val="NormalWeb"/>
        <w:spacing w:before="280" w:after="280"/>
        <w:ind w:firstLine="567"/>
        <w:contextualSpacing/>
        <w:jc w:val="both"/>
        <w:rPr>
          <w:color w:val="000000"/>
        </w:rPr>
      </w:pPr>
      <w:r>
        <w:rPr/>
        <w:t>Нарушение обмена сигналами между спектрометром анализатора и его встроенным компьютером, а</w:t>
      </w:r>
      <w:r>
        <w:rPr>
          <w:color w:val="000000"/>
        </w:rPr>
        <w:t xml:space="preserve"> также выход из строя спектральной ртутной лампы прерывают работу анализатора. Если возникшая ошибка не устраняется в течение нескольких минут, необходимо выключить анализатор, отсоединив его от сети питания и обратиться за консультацией к Изготовителю или в ближайший сервисный центр. </w:t>
      </w:r>
      <w:r>
        <w:br w:type="page"/>
      </w:r>
    </w:p>
    <w:p>
      <w:pPr>
        <w:pStyle w:val="1"/>
        <w:spacing w:lineRule="auto" w:line="240" w:before="240" w:after="0"/>
        <w:ind w:firstLine="567"/>
        <w:contextualSpacing/>
        <w:jc w:val="both"/>
        <w:rPr/>
      </w:pPr>
      <w:bookmarkStart w:id="117" w:name="_Toc101279253"/>
      <w:bookmarkStart w:id="118" w:name="_Toc416962050"/>
      <w:r>
        <w:rPr>
          <w:rFonts w:eastAsia="Times New Roman"/>
          <w:szCs w:val="20"/>
        </w:rPr>
        <w:t xml:space="preserve">6 </w:t>
      </w:r>
      <w:r>
        <w:rPr/>
        <w:t>Транспортирование, хранение</w:t>
      </w:r>
      <w:bookmarkEnd w:id="118"/>
      <w:r>
        <w:rPr/>
        <w:t xml:space="preserve"> и утилизация</w:t>
      </w:r>
      <w:bookmarkEnd w:id="117"/>
    </w:p>
    <w:p>
      <w:pPr>
        <w:pStyle w:val="NormalWeb"/>
        <w:spacing w:before="280" w:after="280"/>
        <w:ind w:firstLine="567"/>
        <w:contextualSpacing/>
        <w:jc w:val="both"/>
        <w:rPr>
          <w:color w:val="000000"/>
        </w:rPr>
      </w:pPr>
      <w:r>
        <w:rPr/>
        <w:t xml:space="preserve">6.1 Транспортированию подлежит анализатор, упакованный согласно </w:t>
      </w:r>
      <w:r>
        <w:rPr>
          <w:color w:val="000000" w:themeColor="text1"/>
        </w:rPr>
        <w:t>п.1.7. и 1.11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Условия транспортирования, хранения и допустимые сроки сохраняемости анализатора до ввода в эксплуатацию должны соответствовать указанным в </w:t>
      </w:r>
      <w:r>
        <w:rPr>
          <w:color w:val="000000" w:themeColor="text1"/>
        </w:rPr>
        <w:t>таблице 4.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 xml:space="preserve">Если требуемые условия транспортирования и (или) хранения и допустимые сроки сохраняемости отличаются от приведенных в </w:t>
      </w:r>
      <w:r>
        <w:rPr>
          <w:color w:val="000000" w:themeColor="text1"/>
        </w:rPr>
        <w:t>таблице 4</w:t>
      </w:r>
      <w:r>
        <w:rPr/>
        <w:t>, то анализаторы поставляют для условий и сроков, указываемых в договоре на поставку.</w:t>
      </w:r>
    </w:p>
    <w:p>
      <w:pPr>
        <w:pStyle w:val="NormalWeb"/>
        <w:spacing w:before="280" w:after="280"/>
        <w:ind w:firstLine="284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Таблица 4</w:t>
      </w:r>
    </w:p>
    <w:tbl>
      <w:tblPr>
        <w:tblW w:w="9526" w:type="dxa"/>
        <w:jc w:val="left"/>
        <w:tblInd w:w="2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0" w:noVBand="0" w:lastRow="0" w:firstColumn="0" w:lastColumn="0" w:noHBand="0" w:val="0000"/>
      </w:tblPr>
      <w:tblGrid>
        <w:gridCol w:w="3431"/>
        <w:gridCol w:w="1698"/>
        <w:gridCol w:w="1386"/>
        <w:gridCol w:w="1165"/>
        <w:gridCol w:w="1846"/>
      </w:tblGrid>
      <w:tr>
        <w:trPr>
          <w:trHeight w:val="258" w:hRule="atLeast"/>
        </w:trPr>
        <w:tc>
          <w:tcPr>
            <w:tcW w:w="3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b/>
              </w:rPr>
            </w:pPr>
            <w:r>
              <w:rPr>
                <w:b/>
              </w:rPr>
              <w:t>Вид поставок</w:t>
            </w:r>
          </w:p>
        </w:tc>
        <w:tc>
          <w:tcPr>
            <w:tcW w:w="3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b/>
              </w:rPr>
            </w:pPr>
            <w:r>
              <w:rPr>
                <w:b/>
              </w:rPr>
              <w:t>Обозначение условий транспортирования в части</w:t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b/>
              </w:rPr>
            </w:pPr>
            <w:r>
              <w:rPr>
                <w:b/>
              </w:rPr>
              <w:t>Обозначение условий хранения по ГОСТ 15150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b/>
              </w:rPr>
            </w:pPr>
            <w:r>
              <w:rPr>
                <w:b/>
              </w:rPr>
              <w:t>Срок сохраняемости в упаковке и (или) временной противокоррозионной защите, выполненных изготовителем, годы</w:t>
            </w:r>
          </w:p>
        </w:tc>
      </w:tr>
      <w:tr>
        <w:trPr>
          <w:trHeight w:val="258" w:hRule="atLeast"/>
        </w:trPr>
        <w:tc>
          <w:tcPr>
            <w:tcW w:w="34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280"/>
              <w:jc w:val="both"/>
              <w:rPr>
                <w:b/>
              </w:rPr>
            </w:pPr>
            <w:r>
              <w:rPr>
                <w:b/>
              </w:rPr>
              <w:t>механических ВВФ по</w:t>
            </w:r>
          </w:p>
          <w:p>
            <w:pPr>
              <w:pStyle w:val="NormalWeb"/>
              <w:widowControl w:val="false"/>
              <w:spacing w:before="280" w:after="0"/>
              <w:jc w:val="both"/>
              <w:rPr>
                <w:b/>
              </w:rPr>
            </w:pPr>
            <w:r>
              <w:rPr>
                <w:b/>
              </w:rPr>
              <w:t>ГОСТ Р 51908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b/>
              </w:rPr>
            </w:pPr>
            <w:r>
              <w:rPr>
                <w:b/>
              </w:rPr>
              <w:t>климатических ВВФ, таких как условия хранения по ГОСТ 15150</w:t>
            </w:r>
          </w:p>
        </w:tc>
        <w:tc>
          <w:tcPr>
            <w:tcW w:w="11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42" w:hRule="atLeast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Внутри страны (кроме районов Крайнего Севера и труднодоступных районов по ГОСТ 15846)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 или Л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>
          <w:trHeight w:val="204" w:hRule="atLeast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Экспортные районы с умеренным климатом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 или Ж</w:t>
            </w:r>
            <w:r>
              <w:rPr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>
        <w:trPr/>
        <w:tc>
          <w:tcPr>
            <w:tcW w:w="9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perscript"/>
              </w:rPr>
              <w:t xml:space="preserve">1) </w:t>
            </w:r>
            <w:r>
              <w:rPr>
                <w:sz w:val="20"/>
                <w:szCs w:val="20"/>
              </w:rPr>
              <w:t xml:space="preserve"> Только в части транспортирования морем</w:t>
            </w:r>
          </w:p>
        </w:tc>
      </w:tr>
    </w:tbl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Расстановка и крепление ящиков с анализаторами на транспортных средствах должны обеспечивать устойчивое положение при следовании в пути, отсутствие смещения и ударов друг о друга.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Указания предупредительной маркировки должны выполняться на всех этапах следования анализаторов по пути от грузоотправителя до грузополучателя.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Условия агрессивности по ГОСТ Р 51801 при хранении и транспортировании – в соответствии с ГОСТ Р 51908 для установленных условий хранения по ГОСТ 15150. Условия хранения в части механических ВВФ – по ГОСТ Р 51908.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Содержание пыли, паров кислот и щелочей, агрессивных газов и других вредных примесей, вызывающих коррозию, в помещении, где хранится анализатор, не должно превышать содержания коррозионно-активных агентов для атмосферы типа 1 ГОСТ 15150.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6.2 При хранении анализатор должен располагаться на расстоянии не менее 0,1 м от пола и стен хранилища и не менее 0,5 м от отопительных приборов.</w:t>
      </w:r>
    </w:p>
    <w:p>
      <w:pPr>
        <w:pStyle w:val="NormalWeb"/>
        <w:spacing w:before="280" w:after="280"/>
        <w:ind w:firstLine="567"/>
        <w:contextualSpacing/>
        <w:jc w:val="both"/>
        <w:rPr/>
      </w:pPr>
      <w:r>
        <w:rPr/>
        <w:t>6.3 Анализаторы кислорода не содержат вредных веществ и компонентов, представляющих опасность для здоровья людей и окружающей среды в процессе и после окончания срока службы и при утилизации. Утилизация анализатора кислорода осуществляется отдельно по группам материалов: пластмассовые элементы, металлические элементы корпуса и крепежные элементы.</w:t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  <w:r>
        <w:br w:type="page"/>
      </w:r>
    </w:p>
    <w:p>
      <w:pPr>
        <w:pStyle w:val="NormalWeb"/>
        <w:numPr>
          <w:ilvl w:val="0"/>
          <w:numId w:val="0"/>
        </w:numPr>
        <w:spacing w:before="280" w:after="280"/>
        <w:ind w:left="0" w:firstLine="567"/>
        <w:contextualSpacing/>
        <w:jc w:val="both"/>
        <w:outlineLvl w:val="0"/>
        <w:rPr>
          <w:b/>
          <w:bCs/>
          <w:sz w:val="28"/>
          <w:szCs w:val="28"/>
        </w:rPr>
      </w:pPr>
      <w:bookmarkStart w:id="119" w:name="_Toc101279254"/>
      <w:r>
        <w:rPr>
          <w:b/>
          <w:bCs/>
          <w:sz w:val="28"/>
          <w:szCs w:val="28"/>
        </w:rPr>
        <w:t>7 Гарантии изготовителя</w:t>
      </w:r>
      <w:bookmarkEnd w:id="119"/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" w:cs="Times New Roman" w:eastAsiaTheme="minorEastAsia"/>
          <w:sz w:val="24"/>
          <w:szCs w:val="24"/>
          <w:lang w:eastAsia="ru-RU"/>
        </w:rPr>
      </w:pPr>
      <w:bookmarkStart w:id="120" w:name="_Toc506038018"/>
      <w:r>
        <w:rPr>
          <w:rFonts w:eastAsia="" w:cs="Times New Roman" w:ascii="Times New Roman" w:hAnsi="Times New Roman" w:eastAsiaTheme="minorEastAsia"/>
          <w:sz w:val="24"/>
          <w:szCs w:val="24"/>
          <w:lang w:eastAsia="ru-RU"/>
        </w:rPr>
        <w:t>7.1 Изготовитель гарантирует соответствие изделия требованиям настоящих технических условий при соблюдении потребителем правил эксплуатации, транспортирования и хранения, установленных техническими условиями.</w:t>
      </w:r>
      <w:bookmarkEnd w:id="120"/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" w:cs="Times New Roman" w:eastAsiaTheme="minorEastAsia"/>
          <w:sz w:val="24"/>
          <w:szCs w:val="24"/>
          <w:lang w:eastAsia="ru-RU"/>
        </w:rPr>
      </w:pPr>
      <w:bookmarkStart w:id="121" w:name="_Toc506038019"/>
      <w:bookmarkEnd w:id="121"/>
      <w:r>
        <w:rPr>
          <w:rFonts w:eastAsia="" w:cs="Times New Roman" w:ascii="Times New Roman" w:hAnsi="Times New Roman" w:eastAsiaTheme="minorEastAsia"/>
          <w:sz w:val="24"/>
          <w:szCs w:val="24"/>
          <w:lang w:eastAsia="ru-RU"/>
        </w:rPr>
        <w:t>7.2 Гарантийный срок эксплуатации устанавливается 12 месяцев со дня отгрузки анализатора, если иное не предусмотрено договором (контрактом) на поставку.</w:t>
      </w:r>
    </w:p>
    <w:p>
      <w:pPr>
        <w:pStyle w:val="Normal"/>
        <w:spacing w:lineRule="auto" w:line="240" w:before="0" w:after="0"/>
        <w:ind w:firstLine="567"/>
        <w:contextualSpacing/>
        <w:jc w:val="both"/>
        <w:rPr>
          <w:rFonts w:ascii="Times New Roman" w:hAnsi="Times New Roman" w:eastAsia="" w:cs="Times New Roman" w:eastAsiaTheme="minorEastAsia"/>
          <w:sz w:val="24"/>
          <w:szCs w:val="24"/>
          <w:lang w:eastAsia="ru-RU"/>
        </w:rPr>
      </w:pPr>
      <w:bookmarkStart w:id="122" w:name="_Toc506038022"/>
      <w:bookmarkStart w:id="123" w:name="_Toc506038019_Копия_1"/>
      <w:bookmarkEnd w:id="123"/>
      <w:r>
        <w:rPr>
          <w:rFonts w:eastAsia="" w:cs="Times New Roman" w:ascii="Times New Roman" w:hAnsi="Times New Roman" w:eastAsiaTheme="minorEastAsia"/>
          <w:sz w:val="24"/>
          <w:szCs w:val="24"/>
          <w:lang w:eastAsia="ru-RU"/>
        </w:rPr>
        <w:t>7.3 Гарантийные обязательства не распространяются на изделия, не входящие в стандартный комплект поставки. Для указанных изделий действуют гарантийные обязательства поставщика соответствующего оборудования.</w:t>
      </w:r>
      <w:bookmarkEnd w:id="122"/>
    </w:p>
    <w:p>
      <w:pPr>
        <w:pStyle w:val="NormalWeb"/>
        <w:spacing w:before="280" w:after="280"/>
        <w:rPr/>
      </w:pPr>
      <w:r>
        <w:rPr/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  <w:r>
        <w:br w:type="page"/>
      </w:r>
    </w:p>
    <w:p>
      <w:pPr>
        <w:pStyle w:val="NormalWeb"/>
        <w:spacing w:before="280" w:after="280"/>
        <w:rPr/>
      </w:pPr>
      <w:r>
        <w:rPr/>
      </w:r>
    </w:p>
    <w:p>
      <w:pPr>
        <w:pStyle w:val="1"/>
        <w:ind w:left="720" w:hanging="0"/>
        <w:jc w:val="center"/>
        <w:rPr/>
      </w:pPr>
      <w:bookmarkStart w:id="124" w:name="_Toc101279255"/>
      <w:r>
        <w:rPr/>
        <w:t>ПРИЛОЖЕНИЕ А</w:t>
      </w:r>
      <w:bookmarkEnd w:id="124"/>
    </w:p>
    <w:p>
      <w:pPr>
        <w:pStyle w:val="NormalWeb"/>
        <w:spacing w:before="280" w:after="280"/>
        <w:ind w:left="-851" w:firstLine="567"/>
        <w:rPr/>
      </w:pPr>
      <w:bookmarkStart w:id="125" w:name="_Toc416962053"/>
      <w:bookmarkStart w:id="126" w:name="_Toc18893086"/>
      <w:bookmarkStart w:id="127" w:name="_Toc18891552"/>
      <w:bookmarkStart w:id="128" w:name="_Toc18834961"/>
      <w:bookmarkStart w:id="129" w:name="_Toc18834849"/>
      <w:r>
        <w:rPr/>
        <w:t>Рисунок А1 – Схема электрических соединений, исполнение 1</w:t>
      </w:r>
      <w:bookmarkEnd w:id="125"/>
      <w:bookmarkEnd w:id="126"/>
      <w:bookmarkEnd w:id="127"/>
      <w:bookmarkEnd w:id="128"/>
      <w:bookmarkEnd w:id="129"/>
    </w:p>
    <w:p>
      <w:pPr>
        <w:pStyle w:val="NormalWeb"/>
        <w:spacing w:before="280" w:after="280"/>
        <w:ind w:left="-1418" w:firstLine="567"/>
        <w:jc w:val="center"/>
        <w:rPr/>
      </w:pPr>
      <w:r>
        <w:rPr/>
        <mc:AlternateContent>
          <mc:Choice Requires="wps">
            <w:drawing>
              <wp:inline distT="0" distB="0" distL="0" distR="0" wp14:anchorId="7E4BE918">
                <wp:extent cx="7929245" cy="6073140"/>
                <wp:effectExtent l="23495" t="2540" r="0" b="3175"/>
                <wp:docPr id="86" name="Рисунок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3" descr=""/>
                        <pic:cNvPicPr/>
                      </pic:nvPicPr>
                      <pic:blipFill>
                        <a:blip r:embed="rId87"/>
                        <a:srcRect l="-3" t="0" r="224" b="168"/>
                        <a:stretch/>
                      </pic:blipFill>
                      <pic:spPr>
                        <a:xfrm rot="5400000">
                          <a:off x="0" y="0"/>
                          <a:ext cx="7929360" cy="6073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3" stroked="f" o:allowincell="f" style="position:absolute;margin-left:-73.05pt;margin-top:-551.8pt;width:624.3pt;height:478.15pt;mso-wrap-style:none;v-text-anchor:middle;rotation:90;mso-position-vertical:top" wp14:anchorId="7E4BE918" type="_x0000_t75">
                <v:imagedata r:id="rId8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  <w:r>
        <w:br w:type="page"/>
      </w:r>
    </w:p>
    <w:p>
      <w:pPr>
        <w:pStyle w:val="NormalWeb"/>
        <w:spacing w:before="280" w:after="280"/>
        <w:rPr/>
      </w:pPr>
      <w:r>
        <w:rPr/>
        <w:t>Рисунок А2 – Схема электрических соединений, исполнение 2</w:t>
      </w:r>
    </w:p>
    <w:p>
      <w:pPr>
        <w:pStyle w:val="NormalWeb"/>
        <w:spacing w:before="280" w:after="280"/>
        <w:ind w:left="-1701" w:firstLine="708"/>
        <w:jc w:val="center"/>
        <w:rPr/>
      </w:pPr>
      <w:r>
        <w:rPr/>
        <mc:AlternateContent>
          <mc:Choice Requires="wps">
            <w:drawing>
              <wp:inline distT="0" distB="0" distL="0" distR="0" wp14:anchorId="320F6EAE">
                <wp:extent cx="8542020" cy="6151245"/>
                <wp:effectExtent l="25400" t="635" r="0" b="11430"/>
                <wp:docPr id="87" name="Рисунок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4" descr=""/>
                        <pic:cNvPicPr/>
                      </pic:nvPicPr>
                      <pic:blipFill>
                        <a:blip r:embed="rId89"/>
                        <a:srcRect l="240" t="-973" r="470" b="1306"/>
                        <a:stretch/>
                      </pic:blipFill>
                      <pic:spPr>
                        <a:xfrm rot="5400000">
                          <a:off x="0" y="0"/>
                          <a:ext cx="8542080" cy="6151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4" stroked="f" o:allowincell="f" style="position:absolute;margin-left:-94.1pt;margin-top:-579.5pt;width:672.55pt;height:484.3pt;mso-wrap-style:none;v-text-anchor:middle;rotation:90;mso-position-vertical:top" wp14:anchorId="320F6EAE" type="_x0000_t75">
                <v:imagedata r:id="rId9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Web"/>
        <w:spacing w:before="280" w:after="280"/>
        <w:rPr/>
      </w:pPr>
      <w:r>
        <w:rPr/>
      </w:r>
      <w:r>
        <w:br w:type="page"/>
      </w:r>
    </w:p>
    <w:p>
      <w:pPr>
        <w:pStyle w:val="1"/>
        <w:jc w:val="center"/>
        <w:rPr/>
      </w:pPr>
      <w:bookmarkStart w:id="130" w:name="_Toc101279256"/>
      <w:r>
        <w:rPr/>
        <w:t>ПРИЛОЖЕНИЕ Б</w:t>
      </w:r>
      <w:bookmarkEnd w:id="130"/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Таблица Б1 – Карта регистров Modbus </w:t>
      </w:r>
    </w:p>
    <w:p>
      <w:pPr>
        <w:pStyle w:val="Normal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 </w:t>
      </w:r>
      <w:r>
        <w:rPr>
          <w:rFonts w:cs="Times New Roman" w:ascii="Times New Roman" w:hAnsi="Times New Roman"/>
          <w:sz w:val="20"/>
          <w:szCs w:val="20"/>
        </w:rPr>
        <w:t>Чтение – команда 03</w:t>
      </w:r>
      <w:r>
        <w:rPr>
          <w:rFonts w:cs="Times New Roman" w:ascii="Times New Roman" w:hAnsi="Times New Roman"/>
          <w:sz w:val="20"/>
          <w:szCs w:val="20"/>
          <w:lang w:val="en-US"/>
        </w:rPr>
        <w:t>h</w:t>
      </w:r>
      <w:r>
        <w:rPr>
          <w:rFonts w:cs="Times New Roman" w:ascii="Times New Roman" w:hAnsi="Times New Roman"/>
          <w:sz w:val="20"/>
          <w:szCs w:val="20"/>
        </w:rPr>
        <w:t>, запись – команды 06</w:t>
      </w:r>
      <w:r>
        <w:rPr>
          <w:rFonts w:cs="Times New Roman" w:ascii="Times New Roman" w:hAnsi="Times New Roman"/>
          <w:sz w:val="20"/>
          <w:szCs w:val="20"/>
          <w:lang w:val="en-US"/>
        </w:rPr>
        <w:t>h</w:t>
      </w:r>
      <w:r>
        <w:rPr>
          <w:rFonts w:cs="Times New Roman" w:ascii="Times New Roman" w:hAnsi="Times New Roman"/>
          <w:sz w:val="20"/>
          <w:szCs w:val="20"/>
        </w:rPr>
        <w:t xml:space="preserve"> и 10</w:t>
      </w:r>
      <w:r>
        <w:rPr>
          <w:rFonts w:cs="Times New Roman" w:ascii="Times New Roman" w:hAnsi="Times New Roman"/>
          <w:sz w:val="20"/>
          <w:szCs w:val="20"/>
          <w:lang w:val="en-US"/>
        </w:rPr>
        <w:t>h</w:t>
      </w:r>
      <w:r>
        <w:rPr>
          <w:rFonts w:cs="Times New Roman" w:ascii="Times New Roman" w:hAnsi="Times New Roman"/>
          <w:sz w:val="20"/>
          <w:szCs w:val="20"/>
        </w:rPr>
        <w:t>.</w:t>
      </w:r>
    </w:p>
    <w:tbl>
      <w:tblPr>
        <w:tblW w:w="10207" w:type="dxa"/>
        <w:jc w:val="left"/>
        <w:tblInd w:w="-7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777"/>
        <w:gridCol w:w="2902"/>
        <w:gridCol w:w="599"/>
        <w:gridCol w:w="5928"/>
      </w:tblGrid>
      <w:tr>
        <w:trPr>
          <w:tblHeader w:val="true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Адрес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Название 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Примечание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Концентрация кислорода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Интерпретация значения регистра зависит от выбранной единицы измерения (регистр 4); если выбрана ррм, то его значение равно концентрации кислорода в ррм, если выбран %, то значение регистра следует разделить на 10. Особый случай, если значение регистра равно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fff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е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h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– это значит, что сенсор отключен от газового потока, т.к. его величина ниже порогового значения. Только для исполнения 2.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Температура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Температура = (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-500)/10, где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– значение регистра.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Расход газа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Расход газа в мл/мин.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Состояние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Регистр ошибок. Ошибки передаются в виде битового поля, где отдельные биты соответствуют  разным ошибкам:</w:t>
              <w:br/>
              <w:t>0 (0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x01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) — 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Деградация сенсора (требуется замена);</w:t>
              <w:br/>
              <w:t>1 (0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x02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 xml:space="preserve">) — замыкание ТСП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(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неисправность датчика температуры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);</w:t>
              <w:br/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2 (0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x04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 xml:space="preserve">) — обрыв ТСП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(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неисправность датчика температуры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);</w:t>
              <w:br/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3 (0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x08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) — зашкал сигнала 4-20мА (неверно заданы настройки);</w:t>
              <w:br/>
              <w:t>4 (0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x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10) — превышение заданного порога концентрации;</w:t>
              <w:br/>
              <w:t>5 (0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x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20) — зашкал АЦП (концентрация вышла за пределы измеряемого диапазона);</w:t>
              <w:br/>
              <w:t>6 (0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x40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) — Не установлены дата и время;</w:t>
              <w:br/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7 (0x80) – </w:t>
            </w:r>
            <w:r>
              <w:rPr>
                <w:rFonts w:cs="Times New Roman" w:ascii="Times New Roman" w:hAnsi="Times New Roman"/>
                <w:sz w:val="20"/>
                <w:szCs w:val="20"/>
                <w:lang w:val="ru-RU"/>
              </w:rPr>
              <w:t>Нет потока газа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Единица изм.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 – ррм, 1 - %.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Тип газа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 – датчик расхода отключен или отсутствует, 1 – азот, 2 – метан (природный газ), 3 – водород, 4 – гелий.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Серийный номер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Серийный номер прибора. 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 выпуска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 выпуска прибора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Месяц выпуска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Месяц выпуска прибора.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Исполнение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 – исполнение 1, 1 – исполнение 2, один канал, 3 – исполнение 2, 2 канала.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/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Текущие время/дата.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Месяц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/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День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/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Час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/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Минута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R/W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Адрес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Modbus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R/W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Новое значение сетевого адреса вступает в силу сразу после загрузки. Адрес может изменяться от 1 до 124. Значение адреса по умолчанию – 9.</w:t>
            </w:r>
          </w:p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Настройки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Modbus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R/W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Значение этого регистра определяет настойки и интерфейса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-485, используется только младший байт регистра, три младшие бита определяют скорость обмена в бодах: 000, 001 и 002 – 4800, 011 – 9600, 100 – 14400, 101 – 19200, 110 – 38400 и 111 – 115200. Следующие 2 бита определяют контроль по четности: 00 – без контроля, 01 – контроль по четности и 10 – контроль по нечетности. И наконец бит 5 определяет количество стоп-битов – 0 – 1 бит, 1 – два бита. Настройки по умолчанию – 03, т.е. 9600 бод, без контроля, 1 стоп-бит. Новое значение настройки вступает в силу немедленно.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Кол-во записей в архиве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>
          <w:trHeight w:val="775" w:hRule="atLeast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текущей записи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архива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R/W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Данные, соответствующие этой записи, выводятся по команде 0х04, никак не коррелирует с номером записи, просматриваемой на экране дисплея. 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Канал измерения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Для исполнения 1 всегда 0, для двухканального исполнения 2 может быть 0 (измерение по первому каналу) или 1 (измерение по второму каналу).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Максимальная конц. О2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Превышение данного значения приводит к появлению соответствующей ошибки в регистре состояния, если значение равно нулю, то анализ на превышение концентрации отключен.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Минимальный поток г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аза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Если поток газа ниже порога, то выставляется соответствующая ошибка в регистре состояния, в случае исполнения 2 также сенсор отключается от потока газа. Если значение равно нулю, то анализ отключен.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Год, очередная калибровка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/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Время/дата очередной автоматической калибровки, для исполнения 1 значения данных регистров всегда равны нулю.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Месяц, очередная калибровка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/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День, очередная калибровка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R/W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Час, очередная калибровка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R/W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Минута, очередная калибровка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R/W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Период калибровки, дни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R/W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Период автоматической калибровки, если значение равно нулю, то автоматическая калибровка отключена.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Тип газа-разбавителя калибровочной смеси.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R/W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0 – датчик расхода отключен или отсутствует, 1 – азот, 2 – метан (природный газ), 3 – водород, 4 – гелий.</w:t>
            </w:r>
          </w:p>
        </w:tc>
      </w:tr>
      <w:tr>
        <w:trPr/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Команда 04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h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0 - 23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Среднее значение за час 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Если значение регистра равно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ffffh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это значит, что в течение этого часа прибор был выключен, если значение равно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fffeh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– это значит, что сенсор был отключен вследствие низкого потока газа (только для исполнения 2). В остальных случаях в 14-ти младших битах регистра содержится среднее значение концентрации кислорода за час, в двух старших битах – ошибки, относящиеся к датчику температуры и деструкции сенсора.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День записи, номер записи определяется регистром 18, читаемым командой 03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h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Месяц записи.</w:t>
            </w:r>
          </w:p>
        </w:tc>
      </w:tr>
      <w:tr>
        <w:trPr/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Год записи.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Состояние – </w:t>
      </w:r>
      <w:r>
        <w:rPr>
          <w:rFonts w:cs="Times New Roman" w:ascii="Times New Roman" w:hAnsi="Times New Roman"/>
          <w:sz w:val="20"/>
          <w:szCs w:val="20"/>
          <w:lang w:val="en-US"/>
        </w:rPr>
        <w:t>R</w:t>
      </w:r>
      <w:r>
        <w:rPr>
          <w:rFonts w:cs="Times New Roman" w:ascii="Times New Roman" w:hAnsi="Times New Roman"/>
          <w:sz w:val="20"/>
          <w:szCs w:val="20"/>
        </w:rPr>
        <w:t xml:space="preserve"> – только чтение; </w:t>
      </w:r>
      <w:r>
        <w:rPr>
          <w:rFonts w:cs="Times New Roman" w:ascii="Times New Roman" w:hAnsi="Times New Roman"/>
          <w:sz w:val="20"/>
          <w:szCs w:val="20"/>
          <w:lang w:val="en-US"/>
        </w:rPr>
        <w:t>R</w:t>
      </w:r>
      <w:r>
        <w:rPr>
          <w:rFonts w:cs="Times New Roman" w:ascii="Times New Roman" w:hAnsi="Times New Roman"/>
          <w:sz w:val="20"/>
          <w:szCs w:val="20"/>
        </w:rPr>
        <w:t>/</w:t>
      </w:r>
      <w:r>
        <w:rPr>
          <w:rFonts w:cs="Times New Roman" w:ascii="Times New Roman" w:hAnsi="Times New Roman"/>
          <w:sz w:val="20"/>
          <w:szCs w:val="20"/>
          <w:lang w:val="en-US"/>
        </w:rPr>
        <w:t>W</w:t>
      </w:r>
      <w:r>
        <w:rPr>
          <w:rFonts w:cs="Times New Roman" w:ascii="Times New Roman" w:hAnsi="Times New Roman"/>
          <w:sz w:val="20"/>
          <w:szCs w:val="20"/>
        </w:rPr>
        <w:t xml:space="preserve"> – чтение и запись; </w:t>
      </w:r>
    </w:p>
    <w:p>
      <w:pPr>
        <w:pStyle w:val="Normal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Все регистры имеют формат «целое без знака» значение регистра (</w:t>
      </w:r>
      <w:r>
        <w:rPr>
          <w:rFonts w:cs="Times New Roman" w:ascii="Times New Roman" w:hAnsi="Times New Roman"/>
          <w:sz w:val="20"/>
          <w:szCs w:val="20"/>
          <w:lang w:val="en-US"/>
        </w:rPr>
        <w:t>Reg</w:t>
      </w:r>
      <w:r>
        <w:rPr>
          <w:rFonts w:cs="Times New Roman" w:ascii="Times New Roman" w:hAnsi="Times New Roman"/>
          <w:sz w:val="20"/>
          <w:szCs w:val="20"/>
        </w:rPr>
        <w:t>) изменяется от 0 до 65535.</w:t>
      </w:r>
      <w:r>
        <w:br w:type="page"/>
      </w:r>
    </w:p>
    <w:p>
      <w:pPr>
        <w:pStyle w:val="NormalWeb"/>
        <w:spacing w:before="280" w:after="280"/>
        <w:rPr/>
      </w:pPr>
      <w:r>
        <w:rPr/>
      </w:r>
    </w:p>
    <w:p>
      <w:pPr>
        <w:pStyle w:val="1"/>
        <w:ind w:left="720" w:hanging="0"/>
        <w:jc w:val="center"/>
        <w:rPr/>
      </w:pPr>
      <w:bookmarkStart w:id="131" w:name="_Toc101279255_Копия_1"/>
      <w:r>
        <w:rPr/>
        <w:t xml:space="preserve">ПРИЛОЖЕНИЕ </w:t>
      </w:r>
      <w:bookmarkEnd w:id="131"/>
      <w:r>
        <w:rPr>
          <w:lang w:val="ru-RU"/>
        </w:rPr>
        <w:t>В</w:t>
        <w:br/>
      </w:r>
      <w:r>
        <w:rPr>
          <w:b/>
          <w:bCs/>
        </w:rPr>
        <w:t>Дополнительные функции кнопок расположенных на лицевой панели.</w:t>
      </w:r>
    </w:p>
    <w:p>
      <w:pPr>
        <w:pStyle w:val="NormalWeb"/>
        <w:widowControl/>
        <w:suppressAutoHyphens w:val="true"/>
        <w:bidi w:val="0"/>
        <w:spacing w:lineRule="auto" w:line="240" w:beforeAutospacing="1" w:afterAutospacing="1"/>
        <w:jc w:val="left"/>
        <w:rPr/>
      </w:pPr>
      <w:r>
        <w:rPr>
          <w:lang w:val="ru-RU"/>
        </w:rPr>
        <w:t>Все дополнительные функции кнопок работают исключительно если на экране отображается главная страница. Список дополнительных функций:</w:t>
      </w:r>
    </w:p>
    <w:p>
      <w:pPr>
        <w:pStyle w:val="NormalWeb"/>
        <w:widowControl/>
        <w:numPr>
          <w:ilvl w:val="0"/>
          <w:numId w:val="8"/>
        </w:numPr>
        <w:suppressAutoHyphens w:val="true"/>
        <w:bidi w:val="0"/>
        <w:spacing w:lineRule="auto" w:line="240" w:beforeAutospacing="1" w:after="0"/>
        <w:jc w:val="left"/>
        <w:rPr/>
      </w:pPr>
      <w:r>
        <w:rPr>
          <w:lang w:val="ru-RU"/>
        </w:rPr>
        <w:t>5 нажатий кнопки «ВВЕРХ» - запускает процедуру периодической калибровки через 2 минуты после обнаружения 5 нажатий кнопки.</w:t>
      </w:r>
    </w:p>
    <w:p>
      <w:pPr>
        <w:pStyle w:val="NormalWeb"/>
        <w:widowControl/>
        <w:numPr>
          <w:ilvl w:val="0"/>
          <w:numId w:val="8"/>
        </w:numPr>
        <w:suppressAutoHyphens w:val="true"/>
        <w:bidi w:val="0"/>
        <w:spacing w:lineRule="auto" w:line="240" w:before="0" w:afterAutospacing="1"/>
        <w:jc w:val="left"/>
        <w:rPr/>
      </w:pPr>
      <w:r>
        <w:rPr>
          <w:lang w:val="ru-RU"/>
        </w:rPr>
        <w:t xml:space="preserve">5 нажатий кнопки «ВНИЗ» - снимает блокировку клапанов и запускает работу в нормальном режиме на </w:t>
      </w:r>
      <w:r>
        <w:rPr>
          <w:lang w:val="ru-RU"/>
        </w:rPr>
        <w:t>10</w:t>
      </w:r>
      <w:r>
        <w:rPr>
          <w:lang w:val="ru-RU"/>
        </w:rPr>
        <w:t xml:space="preserve"> сек! Эта функция нужна если клапаны закрылись в результате обнаружения  низкого расхода.</w:t>
      </w:r>
      <w:r>
        <w:br w:type="page"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jc w:val="center"/>
        <w:rPr/>
      </w:pPr>
      <w:r>
        <w:rPr/>
        <w:t>ЛИСТ РЕГИСТРАЦИИ ИЗМЕНЕНИЙ</w:t>
      </w:r>
    </w:p>
    <w:tbl>
      <w:tblPr>
        <w:tblStyle w:val="a8"/>
        <w:tblW w:w="10207" w:type="dxa"/>
        <w:jc w:val="left"/>
        <w:tblInd w:w="-71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1"/>
        <w:gridCol w:w="992"/>
        <w:gridCol w:w="992"/>
        <w:gridCol w:w="850"/>
        <w:gridCol w:w="1134"/>
        <w:gridCol w:w="1276"/>
        <w:gridCol w:w="850"/>
        <w:gridCol w:w="1276"/>
        <w:gridCol w:w="1134"/>
        <w:gridCol w:w="851"/>
      </w:tblGrid>
      <w:tr>
        <w:trPr/>
        <w:tc>
          <w:tcPr>
            <w:tcW w:w="851" w:type="dxa"/>
            <w:vMerge w:val="restart"/>
            <w:tcBorders/>
            <w:vAlign w:val="center"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Изм.</w:t>
            </w:r>
          </w:p>
        </w:tc>
        <w:tc>
          <w:tcPr>
            <w:tcW w:w="3968" w:type="dxa"/>
            <w:gridSpan w:val="4"/>
            <w:tcBorders/>
            <w:vAlign w:val="center"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Номера листов</w:t>
            </w:r>
          </w:p>
        </w:tc>
        <w:tc>
          <w:tcPr>
            <w:tcW w:w="1276" w:type="dxa"/>
            <w:vMerge w:val="restart"/>
            <w:tcBorders/>
            <w:vAlign w:val="center"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Всего листов в документе</w:t>
            </w:r>
          </w:p>
        </w:tc>
        <w:tc>
          <w:tcPr>
            <w:tcW w:w="850" w:type="dxa"/>
            <w:vMerge w:val="restart"/>
            <w:tcBorders/>
            <w:vAlign w:val="center"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Номер докум.</w:t>
            </w:r>
          </w:p>
        </w:tc>
        <w:tc>
          <w:tcPr>
            <w:tcW w:w="1276" w:type="dxa"/>
            <w:vMerge w:val="restart"/>
            <w:tcBorders/>
            <w:vAlign w:val="center"/>
          </w:tcPr>
          <w:p>
            <w:pPr>
              <w:pStyle w:val="NormalWeb"/>
              <w:widowControl w:val="false"/>
              <w:suppressAutoHyphens w:val="true"/>
              <w:spacing w:before="0" w:after="280"/>
              <w:contextualSpacing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Входящ. Номер</w:t>
            </w:r>
          </w:p>
          <w:p>
            <w:pPr>
              <w:pStyle w:val="NormalWeb"/>
              <w:widowControl w:val="false"/>
              <w:suppressAutoHyphens w:val="true"/>
              <w:spacing w:before="280" w:after="280"/>
              <w:contextualSpacing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сопр.док.</w:t>
            </w:r>
          </w:p>
          <w:p>
            <w:pPr>
              <w:pStyle w:val="NormalWeb"/>
              <w:widowControl w:val="false"/>
              <w:suppressAutoHyphens w:val="true"/>
              <w:spacing w:before="280" w:after="0"/>
              <w:contextualSpacing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и дата</w:t>
            </w:r>
          </w:p>
        </w:tc>
        <w:tc>
          <w:tcPr>
            <w:tcW w:w="1134" w:type="dxa"/>
            <w:vMerge w:val="restart"/>
            <w:tcBorders/>
            <w:vAlign w:val="center"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Подпись</w:t>
            </w:r>
          </w:p>
        </w:tc>
        <w:tc>
          <w:tcPr>
            <w:tcW w:w="851" w:type="dxa"/>
            <w:vMerge w:val="restart"/>
            <w:tcBorders/>
            <w:vAlign w:val="center"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Дата</w:t>
            </w:r>
          </w:p>
        </w:tc>
      </w:tr>
      <w:tr>
        <w:trPr/>
        <w:tc>
          <w:tcPr>
            <w:tcW w:w="851" w:type="dxa"/>
            <w:vMerge w:val="continue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измененных</w:t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замененных</w:t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новых</w:t>
            </w:r>
          </w:p>
        </w:tc>
        <w:tc>
          <w:tcPr>
            <w:tcW w:w="1134" w:type="dxa"/>
            <w:tcBorders/>
            <w:vAlign w:val="center"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аннулированных</w:t>
            </w:r>
          </w:p>
        </w:tc>
        <w:tc>
          <w:tcPr>
            <w:tcW w:w="1276" w:type="dxa"/>
            <w:vMerge w:val="continue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0" w:type="dxa"/>
            <w:vMerge w:val="continue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276" w:type="dxa"/>
            <w:vMerge w:val="continue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34" w:type="dxa"/>
            <w:vMerge w:val="continue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1" w:type="dxa"/>
            <w:vMerge w:val="continue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97" w:hRule="atLeast"/>
        </w:trPr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992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276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1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</w:tbl>
    <w:p>
      <w:pPr>
        <w:pStyle w:val="NormalWeb"/>
        <w:spacing w:before="280" w:after="280"/>
        <w:rPr>
          <w:szCs w:val="20"/>
        </w:rPr>
      </w:pPr>
      <w:r>
        <w:rPr/>
      </w:r>
    </w:p>
    <w:sectPr>
      <w:footerReference w:type="default" r:id="rId91"/>
      <w:type w:val="nextPage"/>
      <w:pgSz w:w="11906" w:h="16838"/>
      <w:pgMar w:left="1701" w:right="851" w:gutter="0" w:header="0" w:top="425" w:footer="709" w:bottom="851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NewRomanPSMT">
    <w:charset w:val="cc"/>
    <w:family w:val="roman"/>
    <w:pitch w:val="variable"/>
  </w:font>
  <w:font w:name="Arial Narrow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479106245"/>
    </w:sdtPr>
    <w:sdtContent>
      <w:p>
        <w:pPr>
          <w:pStyle w:val="Style32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58</w:t>
        </w:r>
        <w:r>
          <w:rPr/>
          <w:fldChar w:fldCharType="end"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4858"/>
        </w:tabs>
        <w:ind w:left="4858" w:hanging="358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/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/>
    </w:lvl>
    <w:lvl w:ilvl="1">
      <w:start w:val="5"/>
      <w:numFmt w:val="decimal"/>
      <w:lvlText w:val="%1.%2"/>
      <w:lvlJc w:val="left"/>
      <w:pPr>
        <w:tabs>
          <w:tab w:val="num" w:pos="0"/>
        </w:tabs>
        <w:ind w:left="834" w:hanging="480"/>
      </w:pPr>
      <w:rPr/>
    </w:lvl>
    <w:lvl w:ilvl="2">
      <w:start w:val="2"/>
      <w:numFmt w:val="decimal"/>
      <w:lvlText w:val="%1.%2.%3"/>
      <w:lvlJc w:val="left"/>
      <w:pPr>
        <w:tabs>
          <w:tab w:val="num" w:pos="0"/>
        </w:tabs>
        <w:ind w:left="143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88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496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5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564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18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32" w:hanging="1800"/>
      </w:pPr>
      <w:rPr/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/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/>
    </w:lvl>
    <w:lvl w:ilvl="2">
      <w:start w:val="1"/>
      <w:numFmt w:val="decimal"/>
      <w:lvlText w:val="%3."/>
      <w:lvlJc w:val="left"/>
      <w:pPr>
        <w:tabs>
          <w:tab w:val="num" w:pos="2149"/>
        </w:tabs>
        <w:ind w:left="2149" w:hanging="360"/>
      </w:pPr>
      <w:rPr/>
    </w:lvl>
    <w:lvl w:ilvl="3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  <w:rPr/>
    </w:lvl>
    <w:lvl w:ilvl="4">
      <w:start w:val="1"/>
      <w:numFmt w:val="decimal"/>
      <w:lvlText w:val="%5."/>
      <w:lvlJc w:val="left"/>
      <w:pPr>
        <w:tabs>
          <w:tab w:val="num" w:pos="2869"/>
        </w:tabs>
        <w:ind w:left="2869" w:hanging="360"/>
      </w:pPr>
      <w:rPr/>
    </w:lvl>
    <w:lvl w:ilvl="5">
      <w:start w:val="1"/>
      <w:numFmt w:val="decimal"/>
      <w:lvlText w:val="%6."/>
      <w:lvlJc w:val="left"/>
      <w:pPr>
        <w:tabs>
          <w:tab w:val="num" w:pos="3229"/>
        </w:tabs>
        <w:ind w:left="3229" w:hanging="360"/>
      </w:pPr>
      <w:rPr/>
    </w:lvl>
    <w:lvl w:ilvl="6">
      <w:start w:val="1"/>
      <w:numFmt w:val="decimal"/>
      <w:lvlText w:val="%7."/>
      <w:lvlJc w:val="left"/>
      <w:pPr>
        <w:tabs>
          <w:tab w:val="num" w:pos="3589"/>
        </w:tabs>
        <w:ind w:left="3589" w:hanging="360"/>
      </w:pPr>
      <w:rPr/>
    </w:lvl>
    <w:lvl w:ilvl="7">
      <w:start w:val="1"/>
      <w:numFmt w:val="decimal"/>
      <w:lvlText w:val="%8."/>
      <w:lvlJc w:val="left"/>
      <w:pPr>
        <w:tabs>
          <w:tab w:val="num" w:pos="3949"/>
        </w:tabs>
        <w:ind w:left="3949" w:hanging="360"/>
      </w:pPr>
      <w:rPr/>
    </w:lvl>
    <w:lvl w:ilvl="8">
      <w:start w:val="1"/>
      <w:numFmt w:val="decimal"/>
      <w:lvlText w:val="%9."/>
      <w:lvlJc w:val="left"/>
      <w:pPr>
        <w:tabs>
          <w:tab w:val="num" w:pos="4309"/>
        </w:tabs>
        <w:ind w:left="4309" w:hanging="360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87ada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qFormat/>
    <w:rsid w:val="00082e44"/>
    <w:pPr>
      <w:keepNext w:val="true"/>
      <w:keepLines/>
      <w:spacing w:before="240" w:after="0"/>
      <w:outlineLvl w:val="0"/>
    </w:pPr>
    <w:rPr>
      <w:rFonts w:ascii="Times New Roman" w:hAnsi="Times New Roman" w:eastAsia="" w:cs="Times New Roman" w:eastAsiaTheme="majorEastAsia"/>
      <w:b/>
      <w:sz w:val="28"/>
      <w:szCs w:val="28"/>
    </w:rPr>
  </w:style>
  <w:style w:type="paragraph" w:styleId="2">
    <w:name w:val="Heading 2"/>
    <w:basedOn w:val="Normal"/>
    <w:next w:val="Normal"/>
    <w:link w:val="21"/>
    <w:autoRedefine/>
    <w:uiPriority w:val="9"/>
    <w:unhideWhenUsed/>
    <w:qFormat/>
    <w:rsid w:val="006905a6"/>
    <w:pPr>
      <w:keepNext w:val="true"/>
      <w:keepLines/>
      <w:spacing w:lineRule="auto" w:line="240" w:before="0" w:after="0"/>
      <w:ind w:firstLine="567"/>
      <w:contextualSpacing/>
      <w:jc w:val="both"/>
      <w:outlineLvl w:val="1"/>
    </w:pPr>
    <w:rPr>
      <w:rFonts w:ascii="Times New Roman" w:hAnsi="Times New Roman" w:eastAsia="" w:cs="Times New Roman" w:eastAsiaTheme="majorEastAsia"/>
      <w:b/>
      <w:bCs/>
      <w:color w:val="000000"/>
      <w:sz w:val="24"/>
      <w:szCs w:val="32"/>
    </w:rPr>
  </w:style>
  <w:style w:type="paragraph" w:styleId="4">
    <w:name w:val="Heading 4"/>
    <w:basedOn w:val="Normal"/>
    <w:next w:val="Normal"/>
    <w:link w:val="41"/>
    <w:uiPriority w:val="9"/>
    <w:semiHidden/>
    <w:unhideWhenUsed/>
    <w:qFormat/>
    <w:rsid w:val="00d45152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val="2E74B5" w:themeColor="accent1" w:themeShade="bf"/>
    </w:rPr>
  </w:style>
  <w:style w:type="paragraph" w:styleId="6">
    <w:name w:val="Heading 6"/>
    <w:basedOn w:val="Normal"/>
    <w:next w:val="Normal"/>
    <w:link w:val="61"/>
    <w:qFormat/>
    <w:rsid w:val="00b327dc"/>
    <w:pPr>
      <w:spacing w:lineRule="auto" w:line="240" w:before="240" w:after="60"/>
      <w:outlineLvl w:val="5"/>
    </w:pPr>
    <w:rPr>
      <w:rFonts w:ascii="Times New Roman" w:hAnsi="Times New Roman" w:eastAsia="Times New Roman" w:cs="Times New Roman"/>
      <w:b/>
      <w:bCs/>
      <w:lang w:eastAsia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Верхний колонтитул Знак"/>
    <w:basedOn w:val="DefaultParagraphFont"/>
    <w:uiPriority w:val="99"/>
    <w:qFormat/>
    <w:rsid w:val="00032263"/>
    <w:rPr/>
  </w:style>
  <w:style w:type="character" w:styleId="Style11" w:customStyle="1">
    <w:name w:val="Нижний колонтитул Знак"/>
    <w:basedOn w:val="DefaultParagraphFont"/>
    <w:uiPriority w:val="99"/>
    <w:qFormat/>
    <w:rsid w:val="00032263"/>
    <w:rPr/>
  </w:style>
  <w:style w:type="character" w:styleId="Style12" w:customStyle="1">
    <w:name w:val="Текст выноски Знак"/>
    <w:basedOn w:val="DefaultParagraphFont"/>
    <w:link w:val="BalloonText"/>
    <w:uiPriority w:val="99"/>
    <w:semiHidden/>
    <w:qFormat/>
    <w:rsid w:val="00b47602"/>
    <w:rPr>
      <w:rFonts w:ascii="Segoe UI" w:hAnsi="Segoe UI" w:cs="Segoe UI"/>
      <w:sz w:val="18"/>
      <w:szCs w:val="18"/>
    </w:rPr>
  </w:style>
  <w:style w:type="character" w:styleId="61" w:customStyle="1">
    <w:name w:val="Заголовок 6 Знак"/>
    <w:basedOn w:val="DefaultParagraphFont"/>
    <w:qFormat/>
    <w:rsid w:val="00b327dc"/>
    <w:rPr>
      <w:rFonts w:ascii="Times New Roman" w:hAnsi="Times New Roman" w:eastAsia="Times New Roman" w:cs="Times New Roman"/>
      <w:b/>
      <w:bCs/>
      <w:lang w:eastAsia="ar-SA"/>
    </w:rPr>
  </w:style>
  <w:style w:type="character" w:styleId="Style13">
    <w:name w:val="Emphasis"/>
    <w:basedOn w:val="DefaultParagraphFont"/>
    <w:uiPriority w:val="20"/>
    <w:qFormat/>
    <w:rsid w:val="007147df"/>
    <w:rPr>
      <w:i/>
      <w:iCs/>
    </w:rPr>
  </w:style>
  <w:style w:type="character" w:styleId="Style14" w:customStyle="1">
    <w:name w:val="Основной текст Знак"/>
    <w:basedOn w:val="DefaultParagraphFont"/>
    <w:qFormat/>
    <w:rsid w:val="007147df"/>
    <w:rPr>
      <w:rFonts w:ascii="Arial" w:hAnsi="Arial" w:eastAsia="Times New Roman" w:cs="Times New Roman"/>
      <w:color w:val="00000A"/>
      <w:sz w:val="20"/>
      <w:szCs w:val="20"/>
      <w:lang w:eastAsia="ar-SA" w:bidi="hi-IN"/>
    </w:rPr>
  </w:style>
  <w:style w:type="character" w:styleId="11" w:customStyle="1">
    <w:name w:val="Заголовок 1 Знак"/>
    <w:basedOn w:val="DefaultParagraphFont"/>
    <w:uiPriority w:val="9"/>
    <w:qFormat/>
    <w:rsid w:val="00082e44"/>
    <w:rPr>
      <w:rFonts w:ascii="Times New Roman" w:hAnsi="Times New Roman" w:eastAsia="" w:cs="Times New Roman" w:eastAsiaTheme="majorEastAsia"/>
      <w:b/>
      <w:sz w:val="28"/>
      <w:szCs w:val="28"/>
    </w:rPr>
  </w:style>
  <w:style w:type="character" w:styleId="WW8Num5z5" w:customStyle="1">
    <w:name w:val="WW8Num5z5"/>
    <w:qFormat/>
    <w:rsid w:val="009d42cc"/>
    <w:rPr/>
  </w:style>
  <w:style w:type="character" w:styleId="41" w:customStyle="1">
    <w:name w:val="Заголовок 4 Знак"/>
    <w:basedOn w:val="DefaultParagraphFont"/>
    <w:uiPriority w:val="9"/>
    <w:semiHidden/>
    <w:qFormat/>
    <w:rsid w:val="00d45152"/>
    <w:rPr>
      <w:rFonts w:ascii="Calibri Light" w:hAnsi="Calibri Light" w:eastAsia="" w:cs="" w:asciiTheme="majorHAnsi" w:cstheme="majorBidi" w:eastAsiaTheme="majorEastAsia" w:hAnsiTheme="majorHAnsi"/>
      <w:i/>
      <w:iCs/>
      <w:color w:val="2E74B5" w:themeColor="accent1" w:themeShade="bf"/>
    </w:rPr>
  </w:style>
  <w:style w:type="character" w:styleId="Style15" w:customStyle="1">
    <w:name w:val="Текст после заголовков Знак"/>
    <w:link w:val="Style35"/>
    <w:qFormat/>
    <w:rsid w:val="00952ca7"/>
    <w:rPr>
      <w:rFonts w:ascii="Arial" w:hAnsi="Arial" w:eastAsia="Times New Roman" w:cs="Times New Roman"/>
      <w:sz w:val="28"/>
      <w:szCs w:val="28"/>
      <w:lang w:eastAsia="ru-RU"/>
    </w:rPr>
  </w:style>
  <w:style w:type="character" w:styleId="Style16" w:customStyle="1">
    <w:name w:val="Текст руководства Знак Знак"/>
    <w:basedOn w:val="Style15"/>
    <w:link w:val="Style36"/>
    <w:qFormat/>
    <w:rsid w:val="001a07cb"/>
    <w:rPr>
      <w:rFonts w:ascii="Arial" w:hAnsi="Arial" w:eastAsia="Times New Roman" w:cs="Times New Roman"/>
      <w:sz w:val="28"/>
      <w:szCs w:val="28"/>
      <w:lang w:eastAsia="ru-RU"/>
    </w:rPr>
  </w:style>
  <w:style w:type="character" w:styleId="10" w:customStyle="1">
    <w:name w:val="Рисунок_подпись_10пт Знак"/>
    <w:basedOn w:val="DefaultParagraphFont"/>
    <w:link w:val="101"/>
    <w:qFormat/>
    <w:rsid w:val="00be5eb9"/>
    <w:rPr>
      <w:rFonts w:ascii="Arial" w:hAnsi="Arial" w:eastAsia="Times New Roman" w:cs="Arial"/>
      <w:sz w:val="20"/>
      <w:szCs w:val="20"/>
      <w:lang w:eastAsia="ru-RU"/>
    </w:rPr>
  </w:style>
  <w:style w:type="character" w:styleId="Style17" w:customStyle="1">
    <w:name w:val="Рисунок_подпись Знак"/>
    <w:link w:val="Style38"/>
    <w:qFormat/>
    <w:rsid w:val="00165953"/>
    <w:rPr>
      <w:rFonts w:ascii="Arial" w:hAnsi="Arial" w:eastAsia="Times New Roman" w:cs="Arial"/>
      <w:sz w:val="24"/>
      <w:szCs w:val="24"/>
      <w:lang w:eastAsia="ru-RU"/>
    </w:rPr>
  </w:style>
  <w:style w:type="character" w:styleId="-">
    <w:name w:val="Hyperlink"/>
    <w:basedOn w:val="DefaultParagraphFont"/>
    <w:uiPriority w:val="99"/>
    <w:unhideWhenUsed/>
    <w:rsid w:val="000f705a"/>
    <w:rPr>
      <w:color w:val="0563C1" w:themeColor="hyperlink"/>
      <w:u w:val="singl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5e2bfa"/>
    <w:rPr>
      <w:sz w:val="16"/>
      <w:szCs w:val="16"/>
    </w:rPr>
  </w:style>
  <w:style w:type="character" w:styleId="Style18" w:customStyle="1">
    <w:name w:val="Текст примечания Знак"/>
    <w:basedOn w:val="DefaultParagraphFont"/>
    <w:link w:val="Annotationtext"/>
    <w:uiPriority w:val="99"/>
    <w:semiHidden/>
    <w:qFormat/>
    <w:rsid w:val="005e2bfa"/>
    <w:rPr>
      <w:sz w:val="20"/>
      <w:szCs w:val="20"/>
    </w:rPr>
  </w:style>
  <w:style w:type="character" w:styleId="Style19" w:customStyle="1">
    <w:name w:val="Тема примечания Знак"/>
    <w:basedOn w:val="Style18"/>
    <w:link w:val="Annotationsubject"/>
    <w:uiPriority w:val="99"/>
    <w:semiHidden/>
    <w:qFormat/>
    <w:rsid w:val="005e2bfa"/>
    <w:rPr>
      <w:b/>
      <w:bCs/>
      <w:sz w:val="20"/>
      <w:szCs w:val="20"/>
    </w:rPr>
  </w:style>
  <w:style w:type="character" w:styleId="21" w:customStyle="1">
    <w:name w:val="Заголовок 2 Знак"/>
    <w:basedOn w:val="DefaultParagraphFont"/>
    <w:uiPriority w:val="9"/>
    <w:qFormat/>
    <w:rsid w:val="006905a6"/>
    <w:rPr>
      <w:rFonts w:ascii="Times New Roman" w:hAnsi="Times New Roman" w:eastAsia="" w:cs="Times New Roman" w:eastAsiaTheme="majorEastAsia"/>
      <w:b/>
      <w:bCs/>
      <w:color w:val="000000"/>
      <w:sz w:val="24"/>
      <w:szCs w:val="32"/>
    </w:rPr>
  </w:style>
  <w:style w:type="character" w:styleId="Style20" w:customStyle="1">
    <w:name w:val="Подзаголовок Знак"/>
    <w:basedOn w:val="DefaultParagraphFont"/>
    <w:uiPriority w:val="11"/>
    <w:qFormat/>
    <w:rsid w:val="009032c2"/>
    <w:rPr>
      <w:rFonts w:eastAsia="" w:eastAsiaTheme="minorEastAsia"/>
      <w:color w:val="5A5A5A" w:themeColor="text1" w:themeTint="a5"/>
      <w:spacing w:val="15"/>
    </w:rPr>
  </w:style>
  <w:style w:type="character" w:styleId="Style21" w:customStyle="1">
    <w:name w:val="Абзац списка Знак"/>
    <w:basedOn w:val="DefaultParagraphFont"/>
    <w:link w:val="ListParagraph"/>
    <w:uiPriority w:val="34"/>
    <w:qFormat/>
    <w:locked/>
    <w:rsid w:val="001b4395"/>
    <w:rPr>
      <w:rFonts w:ascii="Times New Roman" w:hAnsi="Times New Roman" w:eastAsia="SimSun" w:cs="Mangal"/>
      <w:color w:val="00000A"/>
      <w:sz w:val="24"/>
      <w:szCs w:val="24"/>
      <w:lang w:eastAsia="zh-CN" w:bidi="hi-IN"/>
    </w:rPr>
  </w:style>
  <w:style w:type="character" w:styleId="12" w:customStyle="1">
    <w:name w:val="Неразрешенное упоминание1"/>
    <w:basedOn w:val="DefaultParagraphFont"/>
    <w:uiPriority w:val="99"/>
    <w:semiHidden/>
    <w:unhideWhenUsed/>
    <w:qFormat/>
    <w:rsid w:val="00843e3d"/>
    <w:rPr>
      <w:color w:val="605E5C"/>
      <w:shd w:fill="E1DFDD" w:val="clear"/>
    </w:rPr>
  </w:style>
  <w:style w:type="character" w:styleId="PlaceholderText">
    <w:name w:val="Placeholder Text"/>
    <w:basedOn w:val="DefaultParagraphFont"/>
    <w:uiPriority w:val="99"/>
    <w:semiHidden/>
    <w:qFormat/>
    <w:rsid w:val="00da167c"/>
    <w:rPr>
      <w:color w:val="808080"/>
    </w:rPr>
  </w:style>
  <w:style w:type="character" w:styleId="Style22">
    <w:name w:val="Ссылка указателя"/>
    <w:qFormat/>
    <w:rPr/>
  </w:style>
  <w:style w:type="character" w:styleId="Style23">
    <w:name w:val="Символ нумерации"/>
    <w:qFormat/>
    <w:rPr/>
  </w:style>
  <w:style w:type="character" w:styleId="Style24">
    <w:name w:val="Маркеры"/>
    <w:qFormat/>
    <w:rPr>
      <w:rFonts w:ascii="OpenSymbol" w:hAnsi="OpenSymbol" w:eastAsia="OpenSymbol" w:cs="OpenSymbol"/>
    </w:rPr>
  </w:style>
  <w:style w:type="paragraph" w:styleId="Style25">
    <w:name w:val="Заголовок"/>
    <w:basedOn w:val="Normal"/>
    <w:next w:val="Style2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6">
    <w:name w:val="Body Text"/>
    <w:basedOn w:val="13"/>
    <w:link w:val="Style14"/>
    <w:rsid w:val="007147df"/>
    <w:pPr>
      <w:spacing w:lineRule="atLeast" w:line="100" w:before="0" w:after="120"/>
    </w:pPr>
    <w:rPr>
      <w:rFonts w:ascii="Arial" w:hAnsi="Arial" w:eastAsia="Times New Roman" w:cs="Times New Roman"/>
      <w:sz w:val="20"/>
      <w:szCs w:val="20"/>
      <w:lang w:eastAsia="ar-SA"/>
    </w:rPr>
  </w:style>
  <w:style w:type="paragraph" w:styleId="Style27">
    <w:name w:val="List"/>
    <w:basedOn w:val="Style26"/>
    <w:pPr/>
    <w:rPr>
      <w:rFonts w:cs="Lucida Sans"/>
    </w:rPr>
  </w:style>
  <w:style w:type="paragraph" w:styleId="Style2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9">
    <w:name w:val="Указатель"/>
    <w:basedOn w:val="Normal"/>
    <w:qFormat/>
    <w:pPr>
      <w:suppressLineNumbers/>
    </w:pPr>
    <w:rPr>
      <w:rFonts w:cs="Lucida Sans"/>
    </w:rPr>
  </w:style>
  <w:style w:type="paragraph" w:styleId="Style30">
    <w:name w:val="Колонтитул"/>
    <w:basedOn w:val="Normal"/>
    <w:qFormat/>
    <w:pPr/>
    <w:rPr/>
  </w:style>
  <w:style w:type="paragraph" w:styleId="Style31">
    <w:name w:val="Header"/>
    <w:basedOn w:val="Normal"/>
    <w:link w:val="Style10"/>
    <w:uiPriority w:val="99"/>
    <w:unhideWhenUsed/>
    <w:rsid w:val="00032263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2">
    <w:name w:val="Footer"/>
    <w:basedOn w:val="Normal"/>
    <w:link w:val="Style11"/>
    <w:uiPriority w:val="99"/>
    <w:unhideWhenUsed/>
    <w:rsid w:val="00032263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b4760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211" w:customStyle="1">
    <w:name w:val="Список 21"/>
    <w:basedOn w:val="Normal"/>
    <w:qFormat/>
    <w:rsid w:val="00e77531"/>
    <w:pPr>
      <w:tabs>
        <w:tab w:val="clear" w:pos="709"/>
        <w:tab w:val="left" w:pos="708" w:leader="none"/>
      </w:tabs>
      <w:suppressAutoHyphens w:val="true"/>
      <w:spacing w:lineRule="atLeast" w:line="100" w:before="0" w:after="0"/>
      <w:ind w:left="720" w:hanging="360"/>
    </w:pPr>
    <w:rPr>
      <w:rFonts w:ascii="Arial" w:hAnsi="Arial" w:eastAsia="Times New Roman" w:cs="Times New Roman"/>
      <w:color w:val="00000A"/>
      <w:sz w:val="20"/>
      <w:szCs w:val="20"/>
      <w:lang w:eastAsia="ar-SA" w:bidi="hi-IN"/>
    </w:rPr>
  </w:style>
  <w:style w:type="paragraph" w:styleId="ListParagraph">
    <w:name w:val="List Paragraph"/>
    <w:basedOn w:val="Normal"/>
    <w:link w:val="Style21"/>
    <w:uiPriority w:val="34"/>
    <w:qFormat/>
    <w:rsid w:val="00957010"/>
    <w:pPr>
      <w:tabs>
        <w:tab w:val="clear" w:pos="709"/>
        <w:tab w:val="left" w:pos="708" w:leader="none"/>
      </w:tabs>
      <w:suppressAutoHyphens w:val="true"/>
      <w:spacing w:lineRule="auto" w:line="252"/>
      <w:ind w:left="720" w:hanging="0"/>
    </w:pPr>
    <w:rPr>
      <w:rFonts w:ascii="Times New Roman" w:hAnsi="Times New Roman" w:eastAsia="SimSun" w:cs="Mangal"/>
      <w:color w:val="00000A"/>
      <w:sz w:val="24"/>
      <w:szCs w:val="24"/>
      <w:lang w:eastAsia="zh-CN" w:bidi="hi-IN"/>
    </w:rPr>
  </w:style>
  <w:style w:type="paragraph" w:styleId="212" w:customStyle="1">
    <w:name w:val="Основной текст 21"/>
    <w:basedOn w:val="Normal"/>
    <w:qFormat/>
    <w:rsid w:val="00957010"/>
    <w:pPr>
      <w:spacing w:lineRule="auto" w:line="240" w:before="0" w:after="0"/>
      <w:jc w:val="both"/>
    </w:pPr>
    <w:rPr>
      <w:rFonts w:ascii="Arial" w:hAnsi="Arial" w:eastAsia="Times New Roman" w:cs="Arial"/>
      <w:sz w:val="24"/>
      <w:szCs w:val="20"/>
      <w:lang w:eastAsia="ar-SA"/>
    </w:rPr>
  </w:style>
  <w:style w:type="paragraph" w:styleId="Default" w:customStyle="1">
    <w:name w:val="Default"/>
    <w:qFormat/>
    <w:rsid w:val="00f15487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Style33" w:customStyle="1">
    <w:name w:val="бычный"/>
    <w:qFormat/>
    <w:rsid w:val="000d6948"/>
    <w:pPr>
      <w:widowControl w:val="false"/>
      <w:suppressAutoHyphens w:val="true"/>
      <w:bidi w:val="0"/>
      <w:spacing w:lineRule="auto" w:line="360" w:before="0" w:after="0"/>
      <w:ind w:firstLine="720"/>
      <w:jc w:val="both"/>
    </w:pPr>
    <w:rPr>
      <w:rFonts w:ascii="Times New Roman" w:hAnsi="Times New Roman" w:eastAsia="Arial" w:cs="Times New Roman"/>
      <w:color w:val="auto"/>
      <w:kern w:val="0"/>
      <w:sz w:val="24"/>
      <w:szCs w:val="20"/>
      <w:lang w:val="ru-RU" w:eastAsia="ar-SA" w:bidi="ar-SA"/>
    </w:rPr>
  </w:style>
  <w:style w:type="paragraph" w:styleId="13" w:customStyle="1">
    <w:name w:val="Обычный1"/>
    <w:qFormat/>
    <w:rsid w:val="007147df"/>
    <w:pPr>
      <w:widowControl/>
      <w:tabs>
        <w:tab w:val="clear" w:pos="709"/>
        <w:tab w:val="left" w:pos="708" w:leader="none"/>
      </w:tabs>
      <w:suppressAutoHyphens w:val="true"/>
      <w:bidi w:val="0"/>
      <w:spacing w:lineRule="auto" w:line="252" w:before="0" w:after="0"/>
      <w:jc w:val="left"/>
    </w:pPr>
    <w:rPr>
      <w:rFonts w:ascii="Times New Roman" w:hAnsi="Times New Roman" w:eastAsia="SimSun" w:cs="Mangal"/>
      <w:color w:val="00000A"/>
      <w:kern w:val="0"/>
      <w:sz w:val="24"/>
      <w:szCs w:val="24"/>
      <w:lang w:val="ru-RU" w:eastAsia="zh-CN" w:bidi="hi-IN"/>
    </w:rPr>
  </w:style>
  <w:style w:type="paragraph" w:styleId="22" w:customStyle="1">
    <w:name w:val="Список 22"/>
    <w:basedOn w:val="13"/>
    <w:qFormat/>
    <w:rsid w:val="006f74f9"/>
    <w:pPr>
      <w:spacing w:lineRule="auto" w:line="240"/>
      <w:ind w:left="720" w:hanging="360"/>
    </w:pPr>
    <w:rPr>
      <w:rFonts w:ascii="Arial" w:hAnsi="Arial" w:eastAsia="Times New Roman" w:cs="Times New Roman"/>
      <w:szCs w:val="20"/>
      <w:lang w:eastAsia="ar-SA"/>
    </w:rPr>
  </w:style>
  <w:style w:type="paragraph" w:styleId="NormalWeb">
    <w:name w:val="Normal (Web)"/>
    <w:basedOn w:val="Normal"/>
    <w:uiPriority w:val="99"/>
    <w:unhideWhenUsed/>
    <w:qFormat/>
    <w:rsid w:val="003e4a1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4" w:customStyle="1">
    <w:name w:val="Текст примечания1"/>
    <w:basedOn w:val="Normal"/>
    <w:qFormat/>
    <w:rsid w:val="005f7be0"/>
    <w:pPr>
      <w:spacing w:lineRule="auto" w:line="240" w:before="0" w:after="0"/>
      <w:ind w:firstLine="851"/>
    </w:pPr>
    <w:rPr>
      <w:rFonts w:ascii="Times New Roman" w:hAnsi="Times New Roman" w:eastAsia="Times New Roman" w:cs="Times New Roman"/>
      <w:sz w:val="24"/>
      <w:szCs w:val="20"/>
      <w:lang w:eastAsia="zh-CN"/>
    </w:rPr>
  </w:style>
  <w:style w:type="paragraph" w:styleId="Style34" w:customStyle="1">
    <w:name w:val="ДобавТекст"/>
    <w:basedOn w:val="4"/>
    <w:qFormat/>
    <w:rsid w:val="00d45152"/>
    <w:pPr>
      <w:keepLines w:val="false"/>
      <w:tabs>
        <w:tab w:val="clear" w:pos="709"/>
        <w:tab w:val="left" w:pos="993" w:leader="none"/>
      </w:tabs>
      <w:suppressAutoHyphens w:val="true"/>
      <w:spacing w:lineRule="auto" w:line="240" w:before="0" w:after="0"/>
      <w:jc w:val="both"/>
    </w:pPr>
    <w:rPr>
      <w:rFonts w:ascii="Arial" w:hAnsi="Arial" w:eastAsia="Times New Roman" w:cs="Times New Roman"/>
      <w:i w:val="false"/>
      <w:iCs w:val="false"/>
      <w:color w:val="auto"/>
      <w:sz w:val="24"/>
      <w:szCs w:val="20"/>
      <w:lang w:eastAsia="ar-SA"/>
    </w:rPr>
  </w:style>
  <w:style w:type="paragraph" w:styleId="23" w:customStyle="1">
    <w:name w:val="Указатель2"/>
    <w:basedOn w:val="Normal"/>
    <w:qFormat/>
    <w:rsid w:val="00d45152"/>
    <w:pPr>
      <w:suppressLineNumbers/>
      <w:suppressAutoHyphens w:val="true"/>
      <w:spacing w:lineRule="auto" w:line="240" w:before="0" w:after="0"/>
    </w:pPr>
    <w:rPr>
      <w:rFonts w:ascii="Arial" w:hAnsi="Arial" w:eastAsia="Times New Roman" w:cs="Tahoma"/>
      <w:sz w:val="24"/>
      <w:szCs w:val="24"/>
      <w:lang w:eastAsia="ar-SA"/>
    </w:rPr>
  </w:style>
  <w:style w:type="paragraph" w:styleId="Style35" w:customStyle="1">
    <w:name w:val="Текст после заголовков"/>
    <w:basedOn w:val="Normal"/>
    <w:next w:val="Normal"/>
    <w:link w:val="Style15"/>
    <w:qFormat/>
    <w:rsid w:val="00952ca7"/>
    <w:pPr>
      <w:spacing w:lineRule="auto" w:line="288" w:before="0" w:after="60"/>
      <w:ind w:firstLine="720"/>
      <w:jc w:val="both"/>
    </w:pPr>
    <w:rPr>
      <w:rFonts w:ascii="Arial" w:hAnsi="Arial" w:eastAsia="Times New Roman" w:cs="Times New Roman"/>
      <w:sz w:val="28"/>
      <w:szCs w:val="28"/>
      <w:lang w:eastAsia="ru-RU"/>
    </w:rPr>
  </w:style>
  <w:style w:type="paragraph" w:styleId="Style36" w:customStyle="1">
    <w:name w:val="Текст руководства Знак"/>
    <w:basedOn w:val="Style35"/>
    <w:link w:val="Style16"/>
    <w:qFormat/>
    <w:rsid w:val="001a07cb"/>
    <w:pPr>
      <w:spacing w:before="120" w:after="60"/>
    </w:pPr>
    <w:rPr/>
  </w:style>
  <w:style w:type="paragraph" w:styleId="Style37" w:customStyle="1">
    <w:name w:val="Предупреждение"/>
    <w:basedOn w:val="Normal"/>
    <w:next w:val="Style36"/>
    <w:qFormat/>
    <w:rsid w:val="000152ca"/>
    <w:pPr>
      <w:spacing w:lineRule="atLeast" w:line="260" w:before="180" w:after="80"/>
      <w:jc w:val="both"/>
    </w:pPr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paragraph" w:styleId="101" w:customStyle="1">
    <w:name w:val="Рисунок_подпись_10пт"/>
    <w:basedOn w:val="Normal"/>
    <w:link w:val="10"/>
    <w:qFormat/>
    <w:rsid w:val="00be5eb9"/>
    <w:pPr>
      <w:spacing w:lineRule="auto" w:line="264" w:before="60" w:after="60"/>
      <w:ind w:left="284" w:right="284" w:hanging="0"/>
      <w:jc w:val="both"/>
    </w:pPr>
    <w:rPr>
      <w:rFonts w:ascii="Arial" w:hAnsi="Arial" w:eastAsia="Times New Roman" w:cs="Arial"/>
      <w:sz w:val="20"/>
      <w:szCs w:val="20"/>
      <w:lang w:eastAsia="ru-RU"/>
    </w:rPr>
  </w:style>
  <w:style w:type="paragraph" w:styleId="Style38" w:customStyle="1">
    <w:name w:val="Рисунок_подпись"/>
    <w:basedOn w:val="Normal"/>
    <w:next w:val="Style37"/>
    <w:link w:val="Style17"/>
    <w:qFormat/>
    <w:rsid w:val="00165953"/>
    <w:pPr>
      <w:spacing w:lineRule="auto" w:line="288" w:before="60" w:after="60"/>
      <w:jc w:val="center"/>
    </w:pPr>
    <w:rPr>
      <w:rFonts w:ascii="Arial" w:hAnsi="Arial" w:eastAsia="Times New Roman" w:cs="Arial"/>
      <w:sz w:val="24"/>
      <w:szCs w:val="24"/>
      <w:lang w:eastAsia="ru-RU"/>
    </w:rPr>
  </w:style>
  <w:style w:type="paragraph" w:styleId="Style39" w:customStyle="1">
    <w:name w:val="Маркированный"/>
    <w:basedOn w:val="Normal"/>
    <w:qFormat/>
    <w:rsid w:val="00ca5cdb"/>
    <w:pPr>
      <w:numPr>
        <w:ilvl w:val="0"/>
        <w:numId w:val="1"/>
      </w:numPr>
      <w:spacing w:lineRule="auto" w:line="288" w:before="0" w:after="60"/>
      <w:jc w:val="both"/>
    </w:pPr>
    <w:rPr>
      <w:rFonts w:ascii="Arial" w:hAnsi="Arial" w:eastAsia="Times New Roman" w:cs="DPLEPB+Arial"/>
      <w:color w:val="000000"/>
      <w:sz w:val="28"/>
      <w:szCs w:val="28"/>
      <w:lang w:eastAsia="ru-RU"/>
    </w:rPr>
  </w:style>
  <w:style w:type="paragraph" w:styleId="Tabelle2" w:customStyle="1">
    <w:name w:val="tabelle2"/>
    <w:basedOn w:val="Normal"/>
    <w:qFormat/>
    <w:rsid w:val="000d2b16"/>
    <w:pPr>
      <w:spacing w:lineRule="auto" w:line="288" w:before="0" w:after="60"/>
    </w:pPr>
    <w:rPr>
      <w:rFonts w:ascii="Arial" w:hAnsi="Arial" w:eastAsia="Times New Roman" w:cs="Times New Roman"/>
      <w:sz w:val="24"/>
      <w:szCs w:val="24"/>
      <w:lang w:eastAsia="ru-RU"/>
    </w:rPr>
  </w:style>
  <w:style w:type="paragraph" w:styleId="102" w:customStyle="1">
    <w:name w:val="Таблица_графа_10пт"/>
    <w:basedOn w:val="Normal"/>
    <w:qFormat/>
    <w:rsid w:val="000d2b16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Style40" w:customStyle="1">
    <w:name w:val="Название таблицы"/>
    <w:basedOn w:val="Normal"/>
    <w:next w:val="Tabelle2"/>
    <w:qFormat/>
    <w:rsid w:val="000d2b16"/>
    <w:pPr>
      <w:keepNext w:val="true"/>
      <w:spacing w:lineRule="auto" w:line="240" w:before="0" w:after="120"/>
      <w:ind w:left="720" w:hanging="0"/>
    </w:pPr>
    <w:rPr>
      <w:rFonts w:ascii="Arial" w:hAnsi="Arial" w:eastAsia="Times New Roman" w:cs="Arial"/>
      <w:bCs/>
      <w:sz w:val="28"/>
      <w:szCs w:val="28"/>
      <w:lang w:eastAsia="ru-RU"/>
    </w:rPr>
  </w:style>
  <w:style w:type="paragraph" w:styleId="Tabelle21" w:customStyle="1">
    <w:name w:val="tabelle2_по_центру"/>
    <w:basedOn w:val="Tabelle2"/>
    <w:qFormat/>
    <w:rsid w:val="000d2b16"/>
    <w:pPr>
      <w:jc w:val="center"/>
    </w:pPr>
    <w:rPr/>
  </w:style>
  <w:style w:type="paragraph" w:styleId="121" w:customStyle="1">
    <w:name w:val="Таблица_графа_12пт"/>
    <w:basedOn w:val="Normal"/>
    <w:qFormat/>
    <w:rsid w:val="003425e7"/>
    <w:pPr>
      <w:tabs>
        <w:tab w:val="clear" w:pos="709"/>
        <w:tab w:val="left" w:pos="720" w:leader="none"/>
      </w:tabs>
      <w:spacing w:lineRule="auto" w:line="288" w:before="120" w:after="120"/>
      <w:jc w:val="center"/>
    </w:pPr>
    <w:rPr>
      <w:rFonts w:ascii="Arial" w:hAnsi="Arial" w:eastAsia="Times New Roman" w:cs="Arial"/>
      <w:b/>
      <w:sz w:val="24"/>
      <w:szCs w:val="24"/>
      <w:lang w:eastAsia="ru-RU"/>
    </w:rPr>
  </w:style>
  <w:style w:type="paragraph" w:styleId="122" w:customStyle="1">
    <w:name w:val="Таблица_текст_12пт_по_ширине"/>
    <w:basedOn w:val="Normal"/>
    <w:qFormat/>
    <w:rsid w:val="003425e7"/>
    <w:pPr>
      <w:tabs>
        <w:tab w:val="clear" w:pos="709"/>
        <w:tab w:val="left" w:pos="720" w:leader="none"/>
      </w:tabs>
      <w:spacing w:lineRule="auto" w:line="288" w:before="0" w:after="60"/>
      <w:jc w:val="both"/>
    </w:pPr>
    <w:rPr>
      <w:rFonts w:ascii="Arial" w:hAnsi="Arial" w:eastAsia="Times New Roman" w:cs="Times New Roman"/>
      <w:sz w:val="24"/>
      <w:szCs w:val="24"/>
      <w:lang w:eastAsia="ru-RU"/>
    </w:rPr>
  </w:style>
  <w:style w:type="paragraph" w:styleId="123" w:customStyle="1">
    <w:name w:val="Таблица_текст_12пт"/>
    <w:basedOn w:val="Normal"/>
    <w:qFormat/>
    <w:rsid w:val="003425e7"/>
    <w:pPr>
      <w:tabs>
        <w:tab w:val="clear" w:pos="709"/>
        <w:tab w:val="left" w:pos="720" w:leader="none"/>
      </w:tabs>
      <w:spacing w:lineRule="auto" w:line="288" w:before="0" w:after="60"/>
      <w:jc w:val="center"/>
    </w:pPr>
    <w:rPr>
      <w:rFonts w:ascii="Arial" w:hAnsi="Arial" w:eastAsia="Times New Roman" w:cs="Times New Roman"/>
      <w:sz w:val="24"/>
      <w:szCs w:val="24"/>
      <w:lang w:eastAsia="ru-RU"/>
    </w:rPr>
  </w:style>
  <w:style w:type="paragraph" w:styleId="Style41">
    <w:name w:val="Index Heading"/>
    <w:basedOn w:val="Style25"/>
    <w:pPr/>
    <w:rPr/>
  </w:style>
  <w:style w:type="paragraph" w:styleId="Style42">
    <w:name w:val="TOC Heading"/>
    <w:basedOn w:val="1"/>
    <w:next w:val="Normal"/>
    <w:uiPriority w:val="39"/>
    <w:unhideWhenUsed/>
    <w:qFormat/>
    <w:rsid w:val="000f705a"/>
    <w:pPr>
      <w:outlineLvl w:val="9"/>
    </w:pPr>
    <w:rPr>
      <w:rFonts w:ascii="Calibri Light" w:hAnsi="Calibri Light" w:cs="" w:asciiTheme="majorHAnsi" w:cstheme="majorBidi" w:hAnsiTheme="majorHAnsi"/>
      <w:b w:val="false"/>
      <w:color w:val="2E74B5" w:themeColor="accent1" w:themeShade="bf"/>
      <w:sz w:val="32"/>
      <w:szCs w:val="32"/>
      <w:lang w:eastAsia="ru-RU"/>
    </w:rPr>
  </w:style>
  <w:style w:type="paragraph" w:styleId="24">
    <w:name w:val="TOC 2"/>
    <w:basedOn w:val="Normal"/>
    <w:next w:val="Normal"/>
    <w:autoRedefine/>
    <w:uiPriority w:val="39"/>
    <w:unhideWhenUsed/>
    <w:rsid w:val="00375323"/>
    <w:pPr>
      <w:numPr>
        <w:ilvl w:val="1"/>
        <w:numId w:val="2"/>
      </w:numPr>
      <w:spacing w:before="0" w:after="100"/>
    </w:pPr>
    <w:rPr>
      <w:rFonts w:ascii="Times New Roman" w:hAnsi="Times New Roman" w:cs="Times New Roman"/>
      <w:b/>
      <w:sz w:val="24"/>
      <w:szCs w:val="24"/>
    </w:rPr>
  </w:style>
  <w:style w:type="paragraph" w:styleId="15">
    <w:name w:val="TOC 1"/>
    <w:basedOn w:val="Normal"/>
    <w:next w:val="Normal"/>
    <w:autoRedefine/>
    <w:uiPriority w:val="39"/>
    <w:unhideWhenUsed/>
    <w:rsid w:val="00375323"/>
    <w:pPr>
      <w:tabs>
        <w:tab w:val="clear" w:pos="709"/>
        <w:tab w:val="left" w:pos="720" w:leader="none"/>
        <w:tab w:val="right" w:pos="9345" w:leader="dot"/>
      </w:tabs>
      <w:spacing w:before="0" w:after="100"/>
    </w:pPr>
    <w:rPr/>
  </w:style>
  <w:style w:type="paragraph" w:styleId="3">
    <w:name w:val="TOC 3"/>
    <w:basedOn w:val="Normal"/>
    <w:next w:val="Normal"/>
    <w:autoRedefine/>
    <w:uiPriority w:val="39"/>
    <w:unhideWhenUsed/>
    <w:rsid w:val="000f705a"/>
    <w:pPr>
      <w:spacing w:before="0" w:after="100"/>
      <w:ind w:left="440" w:hanging="0"/>
    </w:pPr>
    <w:rPr/>
  </w:style>
  <w:style w:type="paragraph" w:styleId="Annotationtext">
    <w:name w:val="annotation text"/>
    <w:basedOn w:val="Normal"/>
    <w:link w:val="Style18"/>
    <w:uiPriority w:val="99"/>
    <w:semiHidden/>
    <w:unhideWhenUsed/>
    <w:qFormat/>
    <w:rsid w:val="005e2bfa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tyle19"/>
    <w:uiPriority w:val="99"/>
    <w:semiHidden/>
    <w:unhideWhenUsed/>
    <w:qFormat/>
    <w:rsid w:val="005e2bfa"/>
    <w:pPr/>
    <w:rPr>
      <w:b/>
      <w:bCs/>
    </w:rPr>
  </w:style>
  <w:style w:type="paragraph" w:styleId="16" w:customStyle="1">
    <w:name w:val="Стиль1"/>
    <w:basedOn w:val="2"/>
    <w:qFormat/>
    <w:rsid w:val="00375323"/>
    <w:pPr/>
    <w:rPr>
      <w:b w:val="false"/>
    </w:rPr>
  </w:style>
  <w:style w:type="paragraph" w:styleId="25" w:customStyle="1">
    <w:name w:val="Стиль2"/>
    <w:basedOn w:val="2"/>
    <w:qFormat/>
    <w:rsid w:val="00375323"/>
    <w:pPr/>
    <w:rPr>
      <w:b w:val="false"/>
    </w:rPr>
  </w:style>
  <w:style w:type="paragraph" w:styleId="Style43">
    <w:name w:val="Subtitle"/>
    <w:basedOn w:val="Normal"/>
    <w:next w:val="Normal"/>
    <w:link w:val="Style20"/>
    <w:uiPriority w:val="11"/>
    <w:qFormat/>
    <w:rsid w:val="009032c2"/>
    <w:pPr/>
    <w:rPr>
      <w:rFonts w:eastAsia="" w:eastAsiaTheme="minorEastAsia"/>
      <w:color w:val="5A5A5A" w:themeColor="text1" w:themeTint="a5"/>
      <w:spacing w:val="15"/>
    </w:rPr>
  </w:style>
  <w:style w:type="paragraph" w:styleId="42">
    <w:name w:val="TOC 4"/>
    <w:basedOn w:val="Normal"/>
    <w:next w:val="Normal"/>
    <w:autoRedefine/>
    <w:uiPriority w:val="39"/>
    <w:unhideWhenUsed/>
    <w:rsid w:val="00843e3d"/>
    <w:pPr>
      <w:spacing w:before="0" w:after="100"/>
      <w:ind w:left="660" w:hanging="0"/>
    </w:pPr>
    <w:rPr>
      <w:rFonts w:eastAsia="" w:eastAsiaTheme="minorEastAsia"/>
      <w:lang w:eastAsia="ru-RU"/>
    </w:rPr>
  </w:style>
  <w:style w:type="paragraph" w:styleId="5">
    <w:name w:val="TOC 5"/>
    <w:basedOn w:val="Normal"/>
    <w:next w:val="Normal"/>
    <w:autoRedefine/>
    <w:uiPriority w:val="39"/>
    <w:unhideWhenUsed/>
    <w:rsid w:val="00843e3d"/>
    <w:pPr>
      <w:spacing w:before="0" w:after="100"/>
      <w:ind w:left="880" w:hanging="0"/>
    </w:pPr>
    <w:rPr>
      <w:rFonts w:eastAsia="" w:eastAsiaTheme="minorEastAsia"/>
      <w:lang w:eastAsia="ru-RU"/>
    </w:rPr>
  </w:style>
  <w:style w:type="paragraph" w:styleId="62">
    <w:name w:val="TOC 6"/>
    <w:basedOn w:val="Normal"/>
    <w:next w:val="Normal"/>
    <w:autoRedefine/>
    <w:uiPriority w:val="39"/>
    <w:unhideWhenUsed/>
    <w:rsid w:val="00843e3d"/>
    <w:pPr>
      <w:spacing w:before="0" w:after="100"/>
      <w:ind w:left="1100" w:hanging="0"/>
    </w:pPr>
    <w:rPr>
      <w:rFonts w:eastAsia="" w:eastAsiaTheme="minorEastAsia"/>
      <w:lang w:eastAsia="ru-RU"/>
    </w:rPr>
  </w:style>
  <w:style w:type="paragraph" w:styleId="7">
    <w:name w:val="TOC 7"/>
    <w:basedOn w:val="Normal"/>
    <w:next w:val="Normal"/>
    <w:autoRedefine/>
    <w:uiPriority w:val="39"/>
    <w:unhideWhenUsed/>
    <w:rsid w:val="00843e3d"/>
    <w:pPr>
      <w:spacing w:before="0" w:after="100"/>
      <w:ind w:left="1320" w:hanging="0"/>
    </w:pPr>
    <w:rPr>
      <w:rFonts w:eastAsia="" w:eastAsiaTheme="minorEastAsia"/>
      <w:lang w:eastAsia="ru-RU"/>
    </w:rPr>
  </w:style>
  <w:style w:type="paragraph" w:styleId="8">
    <w:name w:val="TOC 8"/>
    <w:basedOn w:val="Normal"/>
    <w:next w:val="Normal"/>
    <w:autoRedefine/>
    <w:uiPriority w:val="39"/>
    <w:unhideWhenUsed/>
    <w:rsid w:val="00843e3d"/>
    <w:pPr>
      <w:spacing w:before="0" w:after="100"/>
      <w:ind w:left="1540" w:hanging="0"/>
    </w:pPr>
    <w:rPr>
      <w:rFonts w:eastAsia="" w:eastAsiaTheme="minorEastAsia"/>
      <w:lang w:eastAsia="ru-RU"/>
    </w:rPr>
  </w:style>
  <w:style w:type="paragraph" w:styleId="9">
    <w:name w:val="TOC 9"/>
    <w:basedOn w:val="Normal"/>
    <w:next w:val="Normal"/>
    <w:autoRedefine/>
    <w:uiPriority w:val="39"/>
    <w:unhideWhenUsed/>
    <w:rsid w:val="00843e3d"/>
    <w:pPr>
      <w:spacing w:before="0" w:after="100"/>
      <w:ind w:left="1760" w:hanging="0"/>
    </w:pPr>
    <w:rPr>
      <w:rFonts w:eastAsia="" w:eastAsiaTheme="minorEastAsia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uiPriority w:val="39"/>
    <w:rsid w:val="00806a89"/>
    <w:pPr>
      <w:spacing w:after="0" w:line="240" w:lineRule="auto"/>
    </w:pPr>
    <w:rPr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8">
    <w:name w:val="Table Grid"/>
    <w:basedOn w:val="a2"/>
    <w:uiPriority w:val="39"/>
    <w:rsid w:val="00806a8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Сетка таблицы2"/>
    <w:basedOn w:val="a2"/>
    <w:uiPriority w:val="39"/>
    <w:rsid w:val="00806a89"/>
    <w:pPr>
      <w:spacing w:after="0" w:line="240" w:lineRule="auto"/>
    </w:pPr>
    <w:rPr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png"/><Relationship Id="rId36" Type="http://schemas.openxmlformats.org/officeDocument/2006/relationships/image" Target="media/image34.png"/><Relationship Id="rId37" Type="http://schemas.openxmlformats.org/officeDocument/2006/relationships/image" Target="media/image35.jpeg"/><Relationship Id="rId38" Type="http://schemas.openxmlformats.org/officeDocument/2006/relationships/image" Target="media/image36.jpeg"/><Relationship Id="rId39" Type="http://schemas.openxmlformats.org/officeDocument/2006/relationships/image" Target="media/image37.jpeg"/><Relationship Id="rId40" Type="http://schemas.openxmlformats.org/officeDocument/2006/relationships/image" Target="media/image38.jpeg"/><Relationship Id="rId41" Type="http://schemas.openxmlformats.org/officeDocument/2006/relationships/image" Target="media/image39.jpeg"/><Relationship Id="rId42" Type="http://schemas.openxmlformats.org/officeDocument/2006/relationships/image" Target="media/image40.jpeg"/><Relationship Id="rId43" Type="http://schemas.openxmlformats.org/officeDocument/2006/relationships/image" Target="media/image41.jpeg"/><Relationship Id="rId44" Type="http://schemas.openxmlformats.org/officeDocument/2006/relationships/image" Target="media/image42.jpeg"/><Relationship Id="rId45" Type="http://schemas.openxmlformats.org/officeDocument/2006/relationships/image" Target="media/image43.jpeg"/><Relationship Id="rId46" Type="http://schemas.openxmlformats.org/officeDocument/2006/relationships/image" Target="media/image44.jpeg"/><Relationship Id="rId47" Type="http://schemas.openxmlformats.org/officeDocument/2006/relationships/image" Target="media/image45.jpeg"/><Relationship Id="rId48" Type="http://schemas.openxmlformats.org/officeDocument/2006/relationships/image" Target="media/image46.jpeg"/><Relationship Id="rId49" Type="http://schemas.openxmlformats.org/officeDocument/2006/relationships/image" Target="media/image47.jpeg"/><Relationship Id="rId50" Type="http://schemas.openxmlformats.org/officeDocument/2006/relationships/image" Target="media/image48.jpeg"/><Relationship Id="rId51" Type="http://schemas.openxmlformats.org/officeDocument/2006/relationships/image" Target="media/image49.jpeg"/><Relationship Id="rId52" Type="http://schemas.openxmlformats.org/officeDocument/2006/relationships/image" Target="media/image50.jpeg"/><Relationship Id="rId53" Type="http://schemas.openxmlformats.org/officeDocument/2006/relationships/image" Target="media/image51.jpeg"/><Relationship Id="rId54" Type="http://schemas.openxmlformats.org/officeDocument/2006/relationships/image" Target="media/image52.jpeg"/><Relationship Id="rId55" Type="http://schemas.openxmlformats.org/officeDocument/2006/relationships/image" Target="media/image53.jpeg"/><Relationship Id="rId56" Type="http://schemas.openxmlformats.org/officeDocument/2006/relationships/image" Target="media/image54.jpeg"/><Relationship Id="rId57" Type="http://schemas.openxmlformats.org/officeDocument/2006/relationships/image" Target="media/image55.jpeg"/><Relationship Id="rId58" Type="http://schemas.openxmlformats.org/officeDocument/2006/relationships/image" Target="media/image56.jpeg"/><Relationship Id="rId59" Type="http://schemas.openxmlformats.org/officeDocument/2006/relationships/image" Target="media/image57.jpeg"/><Relationship Id="rId60" Type="http://schemas.openxmlformats.org/officeDocument/2006/relationships/image" Target="media/image58.jpeg"/><Relationship Id="rId61" Type="http://schemas.openxmlformats.org/officeDocument/2006/relationships/image" Target="media/image59.jpeg"/><Relationship Id="rId62" Type="http://schemas.openxmlformats.org/officeDocument/2006/relationships/image" Target="media/image60.jpeg"/><Relationship Id="rId63" Type="http://schemas.openxmlformats.org/officeDocument/2006/relationships/image" Target="media/image61.jpeg"/><Relationship Id="rId64" Type="http://schemas.openxmlformats.org/officeDocument/2006/relationships/image" Target="media/image62.jpeg"/><Relationship Id="rId65" Type="http://schemas.openxmlformats.org/officeDocument/2006/relationships/image" Target="media/image63.jpeg"/><Relationship Id="rId66" Type="http://schemas.openxmlformats.org/officeDocument/2006/relationships/image" Target="media/image59.jpeg"/><Relationship Id="rId67" Type="http://schemas.openxmlformats.org/officeDocument/2006/relationships/image" Target="media/image64.jpe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jpe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3.jpeg"/><Relationship Id="rId77" Type="http://schemas.openxmlformats.org/officeDocument/2006/relationships/image" Target="media/image74.jpeg"/><Relationship Id="rId78" Type="http://schemas.openxmlformats.org/officeDocument/2006/relationships/image" Target="media/image75.jpeg"/><Relationship Id="rId79" Type="http://schemas.openxmlformats.org/officeDocument/2006/relationships/image" Target="media/image76.jpeg"/><Relationship Id="rId80" Type="http://schemas.openxmlformats.org/officeDocument/2006/relationships/image" Target="media/image77.jpeg"/><Relationship Id="rId81" Type="http://schemas.openxmlformats.org/officeDocument/2006/relationships/image" Target="media/image78.jpeg"/><Relationship Id="rId82" Type="http://schemas.openxmlformats.org/officeDocument/2006/relationships/image" Target="media/image79.jpeg"/><Relationship Id="rId83" Type="http://schemas.openxmlformats.org/officeDocument/2006/relationships/image" Target="media/image80.jpeg"/><Relationship Id="rId84" Type="http://schemas.openxmlformats.org/officeDocument/2006/relationships/image" Target="media/image81.jpeg"/><Relationship Id="rId85" Type="http://schemas.openxmlformats.org/officeDocument/2006/relationships/image" Target="media/image82.jpeg"/><Relationship Id="rId86" Type="http://schemas.openxmlformats.org/officeDocument/2006/relationships/image" Target="media/image83.jpeg"/><Relationship Id="rId87" Type="http://schemas.openxmlformats.org/officeDocument/2006/relationships/image" Target="media/image84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5.png"/><Relationship Id="rId91" Type="http://schemas.openxmlformats.org/officeDocument/2006/relationships/footer" Target="footer1.xml"/><Relationship Id="rId92" Type="http://schemas.openxmlformats.org/officeDocument/2006/relationships/numbering" Target="numbering.xml"/><Relationship Id="rId93" Type="http://schemas.openxmlformats.org/officeDocument/2006/relationships/fontTable" Target="fontTable.xml"/><Relationship Id="rId94" Type="http://schemas.openxmlformats.org/officeDocument/2006/relationships/settings" Target="settings.xml"/><Relationship Id="rId95" Type="http://schemas.openxmlformats.org/officeDocument/2006/relationships/theme" Target="theme/theme1.xml"/><Relationship Id="rId9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C7A28-515D-4992-8635-4E27A7EE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Application>LibreOffice/7.5.3.2$Windows_X86_64 LibreOffice_project/9f56dff12ba03b9acd7730a5a481eea045e468f3</Application>
  <AppVersion>15.0000</AppVersion>
  <Pages>68</Pages>
  <Words>9164</Words>
  <Characters>58895</Characters>
  <CharactersWithSpaces>67918</CharactersWithSpaces>
  <Paragraphs>893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2026-02-03T10:44:00Z</dcterms:created>
  <dc:creator>HAS</dc:creator>
  <dc:description/>
  <dc:language>ru-RU</dc:language>
  <cp:lastModifiedBy/>
  <cp:lastPrinted>2022-09-23T09:08:00Z</cp:lastPrinted>
  <dcterms:modified xsi:type="dcterms:W3CDTF">2026-06-16T13:38:34Z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